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0F" w:rsidRPr="00861F56" w:rsidRDefault="00D55928" w:rsidP="004B2A08">
      <w:pPr>
        <w:ind w:left="5760"/>
        <w:rPr>
          <w:rFonts w:ascii="Calibri" w:hAnsi="Calibri" w:cs="Arial"/>
          <w:b/>
          <w:color w:val="007373"/>
        </w:rPr>
      </w:pPr>
      <w:r>
        <w:rPr>
          <w:noProof/>
          <w:lang w:eastAsia="en-GB"/>
        </w:rPr>
        <w:drawing>
          <wp:anchor distT="0" distB="0" distL="114300" distR="114300" simplePos="0" relativeHeight="251659264" behindDoc="1" locked="0" layoutInCell="1" allowOverlap="1">
            <wp:simplePos x="0" y="0"/>
            <wp:positionH relativeFrom="column">
              <wp:posOffset>-900430</wp:posOffset>
            </wp:positionH>
            <wp:positionV relativeFrom="paragraph">
              <wp:posOffset>-990600</wp:posOffset>
            </wp:positionV>
            <wp:extent cx="7591425" cy="10760710"/>
            <wp:effectExtent l="0" t="0" r="9525" b="2540"/>
            <wp:wrapThrough wrapText="bothSides">
              <wp:wrapPolygon edited="0">
                <wp:start x="0" y="0"/>
                <wp:lineTo x="0" y="21567"/>
                <wp:lineTo x="21573" y="21567"/>
                <wp:lineTo x="21573" y="0"/>
                <wp:lineTo x="0" y="0"/>
              </wp:wrapPolygon>
            </wp:wrapThrough>
            <wp:docPr id="5" name="Picture 2" descr="M:\Planning\plan_policy\Community Infrastructure Levy\CIL Charging Schedule Review 2017\3 Preliminary Draft Charging Schedule (Dec 2017)\01 PDSC document\Front cover_PD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anning\plan_policy\Community Infrastructure Levy\CIL Charging Schedule Review 2017\3 Preliminary Draft Charging Schedule (Dec 2017)\01 PDSC document\Front cover_PDC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425" cy="107607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4B2A08">
        <w:rPr>
          <w:rFonts w:cs="Arial"/>
          <w:b/>
          <w:sz w:val="28"/>
          <w:szCs w:val="28"/>
        </w:rPr>
        <w:t>Appendix 1</w:t>
      </w:r>
      <w:r w:rsidR="00F752C1">
        <w:rPr>
          <w:rFonts w:ascii="Calibri" w:hAnsi="Calibri" w:cs="Arial"/>
          <w:b/>
          <w:color w:val="0000FF"/>
        </w:rPr>
        <w:br w:type="page"/>
      </w:r>
      <w:r w:rsidR="00CB2836" w:rsidRPr="00861F56">
        <w:rPr>
          <w:rFonts w:ascii="Calibri" w:hAnsi="Calibri" w:cs="Arial"/>
          <w:b/>
          <w:color w:val="007373"/>
        </w:rPr>
        <w:lastRenderedPageBreak/>
        <w:t>I</w:t>
      </w:r>
      <w:r w:rsidR="00621B0F" w:rsidRPr="00861F56">
        <w:rPr>
          <w:rFonts w:ascii="Calibri" w:hAnsi="Calibri" w:cs="Arial"/>
          <w:b/>
          <w:color w:val="007373"/>
        </w:rPr>
        <w:t>ntroduction</w:t>
      </w:r>
    </w:p>
    <w:p w:rsidR="00D22079" w:rsidRPr="00676527" w:rsidRDefault="00621B0F" w:rsidP="00A74976">
      <w:pPr>
        <w:numPr>
          <w:ilvl w:val="0"/>
          <w:numId w:val="4"/>
        </w:numPr>
        <w:rPr>
          <w:rFonts w:ascii="Calibri" w:hAnsi="Calibri" w:cs="Arial"/>
        </w:rPr>
      </w:pPr>
      <w:r w:rsidRPr="00A26EB9">
        <w:rPr>
          <w:rFonts w:ascii="Calibri" w:hAnsi="Calibri" w:cs="Arial"/>
        </w:rPr>
        <w:t xml:space="preserve">In 2010 the Government </w:t>
      </w:r>
      <w:r w:rsidRPr="00676527">
        <w:rPr>
          <w:rFonts w:ascii="Calibri" w:hAnsi="Calibri" w:cs="Arial"/>
        </w:rPr>
        <w:t>introduced the Community Infrastructure Levy (CIL) as the preferred mechanism for securing developer contributions towards infrastructure to support growth in an area. The regulations which introduced CIL also require planning obligations to be scaled back to cover only site-specific obligations.</w:t>
      </w:r>
    </w:p>
    <w:p w:rsidR="00F752C1" w:rsidRPr="00676527" w:rsidRDefault="00F752C1" w:rsidP="00F752C1">
      <w:pPr>
        <w:ind w:left="360"/>
        <w:rPr>
          <w:rFonts w:ascii="Calibri" w:hAnsi="Calibri" w:cs="Arial"/>
        </w:rPr>
      </w:pPr>
    </w:p>
    <w:p w:rsidR="000330B1" w:rsidRPr="00676527" w:rsidRDefault="00F752C1" w:rsidP="00F752C1">
      <w:pPr>
        <w:numPr>
          <w:ilvl w:val="0"/>
          <w:numId w:val="4"/>
        </w:numPr>
        <w:rPr>
          <w:rFonts w:ascii="Calibri" w:hAnsi="Calibri" w:cs="Arial"/>
          <w:i/>
        </w:rPr>
      </w:pPr>
      <w:r w:rsidRPr="00676527">
        <w:rPr>
          <w:rFonts w:ascii="Calibri" w:hAnsi="Calibri"/>
        </w:rPr>
        <w:t>The City Council was a front runner in adopting its current CIL Charging Schedule in October 2013</w:t>
      </w:r>
      <w:r w:rsidR="000330B1" w:rsidRPr="00676527">
        <w:rPr>
          <w:rFonts w:ascii="Calibri" w:hAnsi="Calibri"/>
        </w:rPr>
        <w:t xml:space="preserve"> but i</w:t>
      </w:r>
      <w:r w:rsidRPr="00676527">
        <w:rPr>
          <w:rFonts w:ascii="Calibri" w:hAnsi="Calibri"/>
        </w:rPr>
        <w:t>t is important that the CIL charges are reviewed to ensure that the Council is maximising funding towards infrastructure.</w:t>
      </w:r>
      <w:r w:rsidR="000330B1" w:rsidRPr="00676527">
        <w:rPr>
          <w:rFonts w:ascii="Calibri" w:hAnsi="Calibri"/>
        </w:rPr>
        <w:t xml:space="preserve"> </w:t>
      </w:r>
      <w:r w:rsidR="000330B1" w:rsidRPr="000330B1">
        <w:rPr>
          <w:rFonts w:ascii="Calibri" w:hAnsi="Calibri"/>
        </w:rPr>
        <w:t>The City Council’s intention is to consider increasing the CIL rates to ensure that CIL can make a meaningful and needed contribution to the infrastructure needs of Oxford.</w:t>
      </w:r>
    </w:p>
    <w:p w:rsidR="000330B1" w:rsidRPr="00676527" w:rsidRDefault="000330B1" w:rsidP="000330B1">
      <w:pPr>
        <w:pStyle w:val="ListParagraph"/>
        <w:rPr>
          <w:rFonts w:ascii="Calibri" w:hAnsi="Calibri"/>
        </w:rPr>
      </w:pPr>
    </w:p>
    <w:p w:rsidR="000330B1" w:rsidRPr="00676527" w:rsidRDefault="00F752C1" w:rsidP="000330B1">
      <w:pPr>
        <w:numPr>
          <w:ilvl w:val="0"/>
          <w:numId w:val="4"/>
        </w:numPr>
        <w:rPr>
          <w:rFonts w:ascii="Calibri" w:hAnsi="Calibri" w:cs="Arial"/>
          <w:i/>
        </w:rPr>
      </w:pPr>
      <w:r w:rsidRPr="00676527">
        <w:rPr>
          <w:rFonts w:ascii="Calibri" w:hAnsi="Calibri"/>
        </w:rPr>
        <w:t xml:space="preserve">The City Council is </w:t>
      </w:r>
      <w:r w:rsidR="000330B1" w:rsidRPr="00676527">
        <w:rPr>
          <w:rFonts w:ascii="Calibri" w:hAnsi="Calibri"/>
        </w:rPr>
        <w:t xml:space="preserve">also </w:t>
      </w:r>
      <w:r w:rsidRPr="00676527">
        <w:rPr>
          <w:rFonts w:ascii="Calibri" w:hAnsi="Calibri"/>
        </w:rPr>
        <w:t>in the process of producing the Local Plan 2036.</w:t>
      </w:r>
      <w:r w:rsidR="000330B1" w:rsidRPr="00676527">
        <w:rPr>
          <w:rFonts w:ascii="Calibri" w:hAnsi="Calibri"/>
        </w:rPr>
        <w:t xml:space="preserve"> </w:t>
      </w:r>
      <w:r w:rsidRPr="00676527">
        <w:rPr>
          <w:rFonts w:ascii="Calibri" w:hAnsi="Calibri"/>
        </w:rPr>
        <w:t xml:space="preserve">It is therefore prudent to review the Charging Schedule at the current time so that </w:t>
      </w:r>
      <w:r w:rsidR="000330B1" w:rsidRPr="00676527">
        <w:rPr>
          <w:rFonts w:ascii="Calibri" w:hAnsi="Calibri"/>
        </w:rPr>
        <w:t xml:space="preserve">it can be demonstrated how the </w:t>
      </w:r>
      <w:r w:rsidRPr="00676527">
        <w:rPr>
          <w:rFonts w:ascii="Calibri" w:hAnsi="Calibri"/>
        </w:rPr>
        <w:t xml:space="preserve">Charging Schedule and associated Regulation 123 list </w:t>
      </w:r>
      <w:r w:rsidR="000330B1" w:rsidRPr="00676527">
        <w:rPr>
          <w:rFonts w:ascii="Calibri" w:hAnsi="Calibri"/>
        </w:rPr>
        <w:t>will support delivery of the Local Plan</w:t>
      </w:r>
      <w:r w:rsidRPr="00676527">
        <w:rPr>
          <w:rFonts w:ascii="Calibri" w:hAnsi="Calibri"/>
        </w:rPr>
        <w:t xml:space="preserve"> 2036.</w:t>
      </w:r>
    </w:p>
    <w:p w:rsidR="000330B1" w:rsidRPr="00676527" w:rsidRDefault="000330B1" w:rsidP="000330B1">
      <w:pPr>
        <w:pStyle w:val="ListParagraph"/>
        <w:rPr>
          <w:rFonts w:ascii="Calibri" w:hAnsi="Calibri" w:cs="Arial"/>
        </w:rPr>
      </w:pPr>
    </w:p>
    <w:p w:rsidR="000330B1" w:rsidRPr="00676527" w:rsidRDefault="000330B1" w:rsidP="000330B1">
      <w:pPr>
        <w:numPr>
          <w:ilvl w:val="0"/>
          <w:numId w:val="4"/>
        </w:numPr>
        <w:rPr>
          <w:rFonts w:ascii="Calibri" w:hAnsi="Calibri" w:cs="Arial"/>
          <w:i/>
        </w:rPr>
      </w:pPr>
      <w:r w:rsidRPr="00676527">
        <w:rPr>
          <w:rFonts w:ascii="Calibri" w:hAnsi="Calibri" w:cs="Arial"/>
        </w:rPr>
        <w:t>The City Council is a charging authority under CIL legislation and is undertaking consultation on this Preliminary Draft Charging Schedule with a view to adopting CIL in 2019. The purpose of this consultation is to seek views on the proposed rates of CIL as set out in the Preliminary Draft Charging Schedule.</w:t>
      </w:r>
    </w:p>
    <w:p w:rsidR="000330B1" w:rsidRPr="00676527" w:rsidRDefault="000330B1" w:rsidP="000330B1">
      <w:pPr>
        <w:pStyle w:val="ListParagraph"/>
        <w:rPr>
          <w:rFonts w:ascii="Calibri" w:hAnsi="Calibri" w:cs="Arial"/>
        </w:rPr>
      </w:pPr>
    </w:p>
    <w:p w:rsidR="000330B1" w:rsidRPr="00676527" w:rsidRDefault="000330B1" w:rsidP="000330B1">
      <w:pPr>
        <w:numPr>
          <w:ilvl w:val="0"/>
          <w:numId w:val="4"/>
        </w:numPr>
        <w:rPr>
          <w:rFonts w:ascii="Calibri" w:hAnsi="Calibri" w:cs="Arial"/>
          <w:i/>
        </w:rPr>
      </w:pPr>
      <w:r w:rsidRPr="00676527">
        <w:rPr>
          <w:rFonts w:ascii="Calibri" w:hAnsi="Calibri" w:cs="Arial"/>
        </w:rPr>
        <w:t xml:space="preserve">The consultation period runs from </w:t>
      </w:r>
      <w:r w:rsidRPr="00295ED9">
        <w:rPr>
          <w:rFonts w:ascii="Calibri" w:hAnsi="Calibri" w:cs="Arial"/>
          <w:b/>
        </w:rPr>
        <w:t xml:space="preserve">XX </w:t>
      </w:r>
      <w:r w:rsidRPr="00295ED9">
        <w:rPr>
          <w:rFonts w:ascii="Calibri" w:hAnsi="Calibri" w:cs="Arial"/>
        </w:rPr>
        <w:t xml:space="preserve">to </w:t>
      </w:r>
      <w:r w:rsidRPr="00295ED9">
        <w:rPr>
          <w:rFonts w:ascii="Calibri" w:hAnsi="Calibri" w:cs="Arial"/>
          <w:b/>
        </w:rPr>
        <w:t>XX</w:t>
      </w:r>
      <w:r w:rsidRPr="00676527">
        <w:rPr>
          <w:rFonts w:ascii="Calibri" w:hAnsi="Calibri" w:cs="Arial"/>
          <w:b/>
        </w:rPr>
        <w:t xml:space="preserve">. </w:t>
      </w:r>
    </w:p>
    <w:p w:rsidR="000330B1" w:rsidRPr="00676527" w:rsidRDefault="000330B1" w:rsidP="000330B1">
      <w:pPr>
        <w:pStyle w:val="ListParagraph"/>
        <w:rPr>
          <w:rFonts w:ascii="Calibri" w:hAnsi="Calibri" w:cs="Arial"/>
        </w:rPr>
      </w:pPr>
    </w:p>
    <w:p w:rsidR="000330B1" w:rsidRPr="00676527" w:rsidRDefault="000330B1" w:rsidP="000330B1">
      <w:pPr>
        <w:numPr>
          <w:ilvl w:val="0"/>
          <w:numId w:val="4"/>
        </w:numPr>
        <w:rPr>
          <w:rFonts w:ascii="Calibri" w:hAnsi="Calibri" w:cs="Arial"/>
          <w:i/>
        </w:rPr>
      </w:pPr>
      <w:r w:rsidRPr="00676527">
        <w:rPr>
          <w:rFonts w:ascii="Calibri" w:hAnsi="Calibri" w:cs="Arial"/>
        </w:rPr>
        <w:t>The Preliminary Draft Charging Schedule is supported by the following evidence documents:</w:t>
      </w:r>
    </w:p>
    <w:p w:rsidR="000330B1" w:rsidRPr="00676527" w:rsidRDefault="000330B1" w:rsidP="000330B1">
      <w:pPr>
        <w:pStyle w:val="ListParagraph"/>
        <w:rPr>
          <w:rFonts w:ascii="Calibri" w:hAnsi="Calibri" w:cs="Arial"/>
        </w:rPr>
      </w:pPr>
    </w:p>
    <w:p w:rsidR="000330B1" w:rsidRPr="000330B1" w:rsidRDefault="000330B1" w:rsidP="000330B1">
      <w:pPr>
        <w:pStyle w:val="ListParagraph"/>
        <w:numPr>
          <w:ilvl w:val="0"/>
          <w:numId w:val="25"/>
        </w:numPr>
        <w:tabs>
          <w:tab w:val="left" w:pos="426"/>
        </w:tabs>
        <w:spacing w:after="120"/>
        <w:rPr>
          <w:rFonts w:ascii="Calibri" w:hAnsi="Calibri"/>
        </w:rPr>
      </w:pPr>
      <w:r w:rsidRPr="000330B1">
        <w:rPr>
          <w:rFonts w:ascii="Calibri" w:hAnsi="Calibri"/>
        </w:rPr>
        <w:t xml:space="preserve">A </w:t>
      </w:r>
      <w:r w:rsidRPr="000330B1">
        <w:rPr>
          <w:rFonts w:ascii="Calibri" w:hAnsi="Calibri"/>
          <w:i/>
        </w:rPr>
        <w:t>draft Infrastructure Delivery Plan</w:t>
      </w:r>
      <w:r w:rsidRPr="000330B1">
        <w:rPr>
          <w:rFonts w:ascii="Calibri" w:hAnsi="Calibri"/>
        </w:rPr>
        <w:t xml:space="preserve"> which sets out infrastructure requirements to support the delivery of the Local Plan 2036. This will be finalised for the publication of the Proposed Submission stage of the Local Plan in </w:t>
      </w:r>
      <w:proofErr w:type="gramStart"/>
      <w:r w:rsidRPr="000330B1">
        <w:rPr>
          <w:rFonts w:ascii="Calibri" w:hAnsi="Calibri"/>
        </w:rPr>
        <w:t>Summer</w:t>
      </w:r>
      <w:proofErr w:type="gramEnd"/>
      <w:r w:rsidRPr="000330B1">
        <w:rPr>
          <w:rFonts w:ascii="Calibri" w:hAnsi="Calibri"/>
        </w:rPr>
        <w:t xml:space="preserve"> 2018. It has been informed by the Oxfordshire Infrastructure Strategy (</w:t>
      </w:r>
      <w:proofErr w:type="spellStart"/>
      <w:r w:rsidRPr="000330B1">
        <w:rPr>
          <w:rFonts w:ascii="Calibri" w:hAnsi="Calibri"/>
        </w:rPr>
        <w:t>OxIS</w:t>
      </w:r>
      <w:proofErr w:type="spellEnd"/>
      <w:r w:rsidRPr="000330B1">
        <w:rPr>
          <w:rFonts w:ascii="Calibri" w:hAnsi="Calibri"/>
        </w:rPr>
        <w:t>).</w:t>
      </w:r>
    </w:p>
    <w:p w:rsidR="000330B1" w:rsidRPr="000330B1" w:rsidRDefault="000330B1" w:rsidP="000330B1">
      <w:pPr>
        <w:pStyle w:val="ListParagraph"/>
        <w:numPr>
          <w:ilvl w:val="0"/>
          <w:numId w:val="25"/>
        </w:numPr>
        <w:tabs>
          <w:tab w:val="left" w:pos="426"/>
        </w:tabs>
        <w:spacing w:after="120"/>
        <w:rPr>
          <w:rFonts w:ascii="Calibri" w:hAnsi="Calibri"/>
        </w:rPr>
      </w:pPr>
      <w:r w:rsidRPr="000330B1">
        <w:rPr>
          <w:rFonts w:ascii="Calibri" w:hAnsi="Calibri"/>
        </w:rPr>
        <w:t xml:space="preserve">An </w:t>
      </w:r>
      <w:r w:rsidRPr="000330B1">
        <w:rPr>
          <w:rFonts w:ascii="Calibri" w:hAnsi="Calibri"/>
          <w:i/>
        </w:rPr>
        <w:t>Economic Viability Study</w:t>
      </w:r>
      <w:r w:rsidRPr="000330B1">
        <w:rPr>
          <w:rFonts w:ascii="Calibri" w:hAnsi="Calibri"/>
        </w:rPr>
        <w:t xml:space="preserve"> has being undertaken by consultants and is a critical piece of evidence to assist in determining the most appropriate level for the CIL tariff. It considers burdens placed upon new development through the Local Plan 2036, such as affordable housing requirements.</w:t>
      </w:r>
    </w:p>
    <w:p w:rsidR="000330B1" w:rsidRPr="000330B1" w:rsidRDefault="000330B1" w:rsidP="000330B1">
      <w:pPr>
        <w:pStyle w:val="bParagraphtext"/>
        <w:numPr>
          <w:ilvl w:val="0"/>
          <w:numId w:val="25"/>
        </w:numPr>
        <w:rPr>
          <w:rFonts w:ascii="Calibri" w:hAnsi="Calibri"/>
        </w:rPr>
      </w:pPr>
      <w:r w:rsidRPr="000330B1">
        <w:rPr>
          <w:rFonts w:ascii="Calibri" w:hAnsi="Calibri"/>
        </w:rPr>
        <w:t xml:space="preserve">An </w:t>
      </w:r>
      <w:r w:rsidRPr="000330B1">
        <w:rPr>
          <w:rFonts w:ascii="Calibri" w:hAnsi="Calibri"/>
          <w:i/>
        </w:rPr>
        <w:t xml:space="preserve">Infrastructure Funding Gap </w:t>
      </w:r>
      <w:r w:rsidRPr="000330B1">
        <w:rPr>
          <w:rFonts w:ascii="Calibri" w:hAnsi="Calibri"/>
        </w:rPr>
        <w:t xml:space="preserve">statement compares the likely CIL income from anticipated new developments with the cost of infrastructure identified in the draft Infrastructure Delivery Plan. It confirms that CIL will not generate sufficient funds to pay for all of the major infrastructure needs identified in the Infrastructure Delivery Plan.  </w:t>
      </w:r>
    </w:p>
    <w:p w:rsidR="000330B1" w:rsidRPr="00676527" w:rsidRDefault="000330B1" w:rsidP="000330B1">
      <w:pPr>
        <w:pStyle w:val="ListParagraph"/>
        <w:rPr>
          <w:rFonts w:ascii="Calibri" w:hAnsi="Calibri" w:cs="Arial"/>
        </w:rPr>
      </w:pPr>
    </w:p>
    <w:p w:rsidR="000330B1" w:rsidRPr="00676527" w:rsidRDefault="000330B1" w:rsidP="000330B1">
      <w:pPr>
        <w:numPr>
          <w:ilvl w:val="0"/>
          <w:numId w:val="4"/>
        </w:numPr>
        <w:rPr>
          <w:rFonts w:ascii="Calibri" w:hAnsi="Calibri" w:cs="Arial"/>
          <w:i/>
        </w:rPr>
      </w:pPr>
      <w:r w:rsidRPr="00676527">
        <w:rPr>
          <w:rFonts w:ascii="Calibri" w:hAnsi="Calibri" w:cs="Arial"/>
        </w:rPr>
        <w:t>The Council will consider the responses to this consultation and will prepare a Draft Charging Schedule for further consultation in 2018.</w:t>
      </w:r>
    </w:p>
    <w:p w:rsidR="00F752C1" w:rsidRPr="00676527" w:rsidRDefault="00F752C1" w:rsidP="00F752C1">
      <w:pPr>
        <w:ind w:left="360"/>
        <w:rPr>
          <w:rFonts w:ascii="Calibri" w:hAnsi="Calibri" w:cs="Arial"/>
        </w:rPr>
      </w:pPr>
    </w:p>
    <w:p w:rsidR="00621B0F" w:rsidRPr="00DB3425" w:rsidRDefault="00DB3425" w:rsidP="00621B0F">
      <w:pPr>
        <w:rPr>
          <w:rFonts w:ascii="Calibri" w:hAnsi="Calibri" w:cs="Arial"/>
          <w:b/>
          <w:color w:val="0070C0"/>
        </w:rPr>
      </w:pPr>
      <w:r>
        <w:rPr>
          <w:rFonts w:ascii="Calibri" w:hAnsi="Calibri" w:cs="Arial"/>
          <w:b/>
          <w:color w:val="0000FF"/>
        </w:rPr>
        <w:br w:type="page"/>
      </w:r>
      <w:r w:rsidR="006B3A6B" w:rsidRPr="00861F56">
        <w:rPr>
          <w:rFonts w:ascii="Calibri" w:hAnsi="Calibri" w:cs="Arial"/>
          <w:b/>
          <w:color w:val="007373"/>
        </w:rPr>
        <w:lastRenderedPageBreak/>
        <w:t>The Community Infrastructure Levy</w:t>
      </w:r>
    </w:p>
    <w:p w:rsidR="00DB3425" w:rsidRPr="004D2CED" w:rsidRDefault="00DB3425" w:rsidP="00DB3425">
      <w:pPr>
        <w:numPr>
          <w:ilvl w:val="0"/>
          <w:numId w:val="4"/>
        </w:numPr>
        <w:rPr>
          <w:rFonts w:ascii="Calibri" w:hAnsi="Calibri" w:cs="Arial"/>
        </w:rPr>
      </w:pPr>
      <w:r w:rsidRPr="004D2CED">
        <w:rPr>
          <w:rFonts w:ascii="Calibri" w:hAnsi="Calibri" w:cs="Arial"/>
        </w:rPr>
        <w:t xml:space="preserve">Oxford City </w:t>
      </w:r>
      <w:r w:rsidRPr="00085E41">
        <w:rPr>
          <w:rFonts w:ascii="Calibri" w:hAnsi="Calibri" w:cs="Arial"/>
        </w:rPr>
        <w:t>Council is the charging authority for the purpose of Part 11 of the Planning Act 2008 and the CIL Regulations 2010</w:t>
      </w:r>
      <w:r>
        <w:rPr>
          <w:rFonts w:ascii="Calibri" w:hAnsi="Calibri" w:cs="Arial"/>
        </w:rPr>
        <w:t xml:space="preserve"> </w:t>
      </w:r>
      <w:r w:rsidRPr="004D2CED">
        <w:rPr>
          <w:rFonts w:ascii="Calibri" w:hAnsi="Calibri" w:cs="Arial"/>
        </w:rPr>
        <w:t>as amended</w:t>
      </w:r>
      <w:r>
        <w:rPr>
          <w:rFonts w:ascii="Calibri" w:hAnsi="Calibri" w:cs="Arial"/>
        </w:rPr>
        <w:t>.</w:t>
      </w:r>
    </w:p>
    <w:p w:rsidR="00DB3425" w:rsidRDefault="00DB3425" w:rsidP="00DB3425">
      <w:pPr>
        <w:ind w:left="360"/>
        <w:rPr>
          <w:rFonts w:ascii="Calibri" w:hAnsi="Calibri" w:cs="Arial"/>
        </w:rPr>
      </w:pPr>
    </w:p>
    <w:p w:rsidR="00621B0F" w:rsidRPr="004D2CED" w:rsidRDefault="00621B0F" w:rsidP="00A74976">
      <w:pPr>
        <w:numPr>
          <w:ilvl w:val="0"/>
          <w:numId w:val="4"/>
        </w:numPr>
        <w:rPr>
          <w:rFonts w:ascii="Calibri" w:hAnsi="Calibri" w:cs="Arial"/>
        </w:rPr>
      </w:pPr>
      <w:r w:rsidRPr="004D2CED">
        <w:rPr>
          <w:rFonts w:ascii="Calibri" w:hAnsi="Calibri" w:cs="Arial"/>
        </w:rPr>
        <w:t xml:space="preserve">The Community Infrastructure Levy is a tariff in the form of a standard charge </w:t>
      </w:r>
      <w:r>
        <w:rPr>
          <w:rFonts w:ascii="Calibri" w:hAnsi="Calibri" w:cs="Arial"/>
        </w:rPr>
        <w:t xml:space="preserve">on new development, which in Oxford </w:t>
      </w:r>
      <w:r w:rsidR="00AB72D4">
        <w:rPr>
          <w:rFonts w:ascii="Calibri" w:hAnsi="Calibri" w:cs="Arial"/>
        </w:rPr>
        <w:t xml:space="preserve">is </w:t>
      </w:r>
      <w:r w:rsidRPr="004D2CED">
        <w:rPr>
          <w:rFonts w:ascii="Calibri" w:hAnsi="Calibri" w:cs="Arial"/>
        </w:rPr>
        <w:t>set by the City Council to help the funding of infrastructure. It is intended to supplement</w:t>
      </w:r>
      <w:r w:rsidR="00960B75">
        <w:rPr>
          <w:rFonts w:ascii="Calibri" w:hAnsi="Calibri" w:cs="Arial"/>
        </w:rPr>
        <w:t>,</w:t>
      </w:r>
      <w:r w:rsidRPr="004D2CED">
        <w:rPr>
          <w:rFonts w:ascii="Calibri" w:hAnsi="Calibri" w:cs="Arial"/>
        </w:rPr>
        <w:t xml:space="preserve"> or top up</w:t>
      </w:r>
      <w:r w:rsidR="00960B75">
        <w:rPr>
          <w:rFonts w:ascii="Calibri" w:hAnsi="Calibri" w:cs="Arial"/>
        </w:rPr>
        <w:t>,</w:t>
      </w:r>
      <w:r w:rsidRPr="004D2CED">
        <w:rPr>
          <w:rFonts w:ascii="Calibri" w:hAnsi="Calibri" w:cs="Arial"/>
        </w:rPr>
        <w:t xml:space="preserve"> other sources of funding</w:t>
      </w:r>
      <w:r>
        <w:rPr>
          <w:rFonts w:ascii="Calibri" w:hAnsi="Calibri" w:cs="Arial"/>
        </w:rPr>
        <w:t xml:space="preserve"> to widen infrastructure delivery. </w:t>
      </w:r>
    </w:p>
    <w:p w:rsidR="00621B0F" w:rsidRPr="004D2CED" w:rsidRDefault="00621B0F" w:rsidP="00621B0F">
      <w:pPr>
        <w:rPr>
          <w:rFonts w:ascii="Calibri" w:hAnsi="Calibri" w:cs="Arial"/>
        </w:rPr>
      </w:pPr>
    </w:p>
    <w:p w:rsidR="00621B0F" w:rsidRDefault="00621B0F" w:rsidP="00A74976">
      <w:pPr>
        <w:numPr>
          <w:ilvl w:val="0"/>
          <w:numId w:val="4"/>
        </w:numPr>
        <w:rPr>
          <w:rFonts w:ascii="Calibri" w:hAnsi="Calibri" w:cs="Arial"/>
        </w:rPr>
      </w:pPr>
      <w:r w:rsidRPr="007E22F2">
        <w:rPr>
          <w:rFonts w:ascii="Calibri" w:hAnsi="Calibri" w:cs="Arial"/>
        </w:rPr>
        <w:t>Most development has som</w:t>
      </w:r>
      <w:r>
        <w:rPr>
          <w:rFonts w:ascii="Calibri" w:hAnsi="Calibri" w:cs="Arial"/>
        </w:rPr>
        <w:t xml:space="preserve">e impact on infrastructure and </w:t>
      </w:r>
      <w:r w:rsidRPr="007E22F2">
        <w:rPr>
          <w:rFonts w:ascii="Calibri" w:hAnsi="Calibri" w:cs="Arial"/>
        </w:rPr>
        <w:t>should contribute to the cost of providing or improving infrastructure.</w:t>
      </w:r>
      <w:r w:rsidR="007D11E6">
        <w:rPr>
          <w:rFonts w:ascii="Calibri" w:hAnsi="Calibri" w:cs="Arial"/>
        </w:rPr>
        <w:t xml:space="preserve"> </w:t>
      </w:r>
      <w:r w:rsidR="007D11E6" w:rsidRPr="007D11E6">
        <w:rPr>
          <w:rFonts w:ascii="Calibri" w:hAnsi="Calibri" w:cs="Arial"/>
        </w:rPr>
        <w:t xml:space="preserve">The principle behind CIL is for those who benefit financially from a planning permission to pay towards the cost of funding the infrastructure needed to support </w:t>
      </w:r>
      <w:r w:rsidR="007D11E6">
        <w:rPr>
          <w:rFonts w:ascii="Calibri" w:hAnsi="Calibri" w:cs="Arial"/>
        </w:rPr>
        <w:t>development.</w:t>
      </w:r>
      <w:r>
        <w:rPr>
          <w:rFonts w:ascii="Calibri" w:hAnsi="Calibri" w:cs="Arial"/>
        </w:rPr>
        <w:t xml:space="preserve"> </w:t>
      </w:r>
    </w:p>
    <w:p w:rsidR="00621B0F" w:rsidRPr="007E22F2" w:rsidRDefault="00621B0F" w:rsidP="00621B0F">
      <w:pPr>
        <w:rPr>
          <w:rFonts w:ascii="Calibri" w:hAnsi="Calibri" w:cs="Arial"/>
        </w:rPr>
      </w:pPr>
    </w:p>
    <w:p w:rsidR="00B13809" w:rsidRDefault="00621B0F" w:rsidP="00A74976">
      <w:pPr>
        <w:numPr>
          <w:ilvl w:val="0"/>
          <w:numId w:val="4"/>
        </w:numPr>
        <w:rPr>
          <w:rFonts w:ascii="Calibri" w:hAnsi="Calibri" w:cs="Arial"/>
        </w:rPr>
      </w:pPr>
      <w:r>
        <w:rPr>
          <w:rFonts w:ascii="Calibri" w:hAnsi="Calibri" w:cs="Arial"/>
        </w:rPr>
        <w:t>CIL will i</w:t>
      </w:r>
      <w:r w:rsidRPr="007E22F2">
        <w:rPr>
          <w:rFonts w:ascii="Calibri" w:hAnsi="Calibri" w:cs="Arial"/>
        </w:rPr>
        <w:t xml:space="preserve">mprove </w:t>
      </w:r>
      <w:r>
        <w:rPr>
          <w:rFonts w:ascii="Calibri" w:hAnsi="Calibri" w:cs="Arial"/>
        </w:rPr>
        <w:t>Oxford City</w:t>
      </w:r>
      <w:r w:rsidRPr="007E22F2">
        <w:rPr>
          <w:rFonts w:ascii="Calibri" w:hAnsi="Calibri" w:cs="Arial"/>
        </w:rPr>
        <w:t xml:space="preserve"> Council’s ability to mitigate the cumulative impa</w:t>
      </w:r>
      <w:r>
        <w:rPr>
          <w:rFonts w:ascii="Calibri" w:hAnsi="Calibri" w:cs="Arial"/>
        </w:rPr>
        <w:t>cts on infrastructure from most</w:t>
      </w:r>
      <w:r w:rsidRPr="007E22F2">
        <w:rPr>
          <w:rFonts w:ascii="Calibri" w:hAnsi="Calibri" w:cs="Arial"/>
        </w:rPr>
        <w:t xml:space="preserve"> developments</w:t>
      </w:r>
      <w:r>
        <w:rPr>
          <w:rFonts w:ascii="Calibri" w:hAnsi="Calibri" w:cs="Arial"/>
        </w:rPr>
        <w:t xml:space="preserve">; </w:t>
      </w:r>
      <w:r w:rsidRPr="004D2CED">
        <w:rPr>
          <w:rFonts w:ascii="Calibri" w:hAnsi="Calibri" w:cs="Arial"/>
        </w:rPr>
        <w:t xml:space="preserve">unlike </w:t>
      </w:r>
      <w:r w:rsidR="00960B75">
        <w:rPr>
          <w:rFonts w:ascii="Calibri" w:hAnsi="Calibri" w:cs="Arial"/>
        </w:rPr>
        <w:t xml:space="preserve">the </w:t>
      </w:r>
      <w:r w:rsidR="00AB72D4">
        <w:rPr>
          <w:rFonts w:ascii="Calibri" w:hAnsi="Calibri" w:cs="Arial"/>
        </w:rPr>
        <w:t>former</w:t>
      </w:r>
      <w:r w:rsidR="007738FD">
        <w:rPr>
          <w:rFonts w:ascii="Calibri" w:hAnsi="Calibri" w:cs="Arial"/>
        </w:rPr>
        <w:t xml:space="preserve"> </w:t>
      </w:r>
      <w:r w:rsidRPr="004D2CED">
        <w:rPr>
          <w:rFonts w:ascii="Calibri" w:hAnsi="Calibri" w:cs="Arial"/>
        </w:rPr>
        <w:t xml:space="preserve">system of planning obligations which </w:t>
      </w:r>
      <w:r>
        <w:rPr>
          <w:rFonts w:ascii="Calibri" w:hAnsi="Calibri" w:cs="Arial"/>
        </w:rPr>
        <w:t>tend</w:t>
      </w:r>
      <w:r w:rsidR="00EF2C26">
        <w:rPr>
          <w:rFonts w:ascii="Calibri" w:hAnsi="Calibri" w:cs="Arial"/>
        </w:rPr>
        <w:t>ed</w:t>
      </w:r>
      <w:r>
        <w:rPr>
          <w:rFonts w:ascii="Calibri" w:hAnsi="Calibri" w:cs="Arial"/>
        </w:rPr>
        <w:t xml:space="preserve"> to affect</w:t>
      </w:r>
      <w:r w:rsidRPr="004D2CED">
        <w:rPr>
          <w:rFonts w:ascii="Calibri" w:hAnsi="Calibri" w:cs="Arial"/>
        </w:rPr>
        <w:t xml:space="preserve"> mainly larger development</w:t>
      </w:r>
      <w:r>
        <w:rPr>
          <w:rFonts w:ascii="Calibri" w:hAnsi="Calibri" w:cs="Arial"/>
        </w:rPr>
        <w:t>s</w:t>
      </w:r>
      <w:r w:rsidRPr="004D2CED">
        <w:rPr>
          <w:rFonts w:ascii="Calibri" w:hAnsi="Calibri" w:cs="Arial"/>
        </w:rPr>
        <w:t xml:space="preserve">. Being charged </w:t>
      </w:r>
      <w:r w:rsidR="00960B75">
        <w:rPr>
          <w:rFonts w:ascii="Calibri" w:hAnsi="Calibri" w:cs="Arial"/>
        </w:rPr>
        <w:t xml:space="preserve">on a </w:t>
      </w:r>
      <w:r w:rsidRPr="004D2CED">
        <w:rPr>
          <w:rFonts w:ascii="Calibri" w:hAnsi="Calibri" w:cs="Arial"/>
        </w:rPr>
        <w:t>p</w:t>
      </w:r>
      <w:r>
        <w:rPr>
          <w:rFonts w:ascii="Calibri" w:hAnsi="Calibri" w:cs="Arial"/>
        </w:rPr>
        <w:t>er square metre</w:t>
      </w:r>
      <w:r w:rsidR="00960B75">
        <w:rPr>
          <w:rFonts w:ascii="Calibri" w:hAnsi="Calibri" w:cs="Arial"/>
        </w:rPr>
        <w:t xml:space="preserve"> basis</w:t>
      </w:r>
      <w:r>
        <w:rPr>
          <w:rFonts w:ascii="Calibri" w:hAnsi="Calibri" w:cs="Arial"/>
        </w:rPr>
        <w:t>, CIL charges will be</w:t>
      </w:r>
      <w:r w:rsidRPr="004D2CED">
        <w:rPr>
          <w:rFonts w:ascii="Calibri" w:hAnsi="Calibri" w:cs="Arial"/>
        </w:rPr>
        <w:t xml:space="preserve"> </w:t>
      </w:r>
      <w:r w:rsidR="00960B75">
        <w:rPr>
          <w:rFonts w:ascii="Calibri" w:hAnsi="Calibri" w:cs="Arial"/>
        </w:rPr>
        <w:t xml:space="preserve">proportional </w:t>
      </w:r>
      <w:r w:rsidRPr="004D2CED">
        <w:rPr>
          <w:rFonts w:ascii="Calibri" w:hAnsi="Calibri" w:cs="Arial"/>
        </w:rPr>
        <w:t>to</w:t>
      </w:r>
      <w:r>
        <w:rPr>
          <w:rFonts w:ascii="Calibri" w:hAnsi="Calibri" w:cs="Arial"/>
        </w:rPr>
        <w:t xml:space="preserve"> the</w:t>
      </w:r>
      <w:r w:rsidRPr="004D2CED">
        <w:rPr>
          <w:rFonts w:ascii="Calibri" w:hAnsi="Calibri" w:cs="Arial"/>
        </w:rPr>
        <w:t xml:space="preserve"> scale of the development. </w:t>
      </w:r>
    </w:p>
    <w:p w:rsidR="00B13809" w:rsidRDefault="00B13809" w:rsidP="00B13809">
      <w:pPr>
        <w:rPr>
          <w:rFonts w:ascii="Calibri" w:hAnsi="Calibri" w:cs="Arial"/>
        </w:rPr>
      </w:pPr>
    </w:p>
    <w:p w:rsidR="00A672AD" w:rsidRPr="00676527" w:rsidRDefault="00621B0F" w:rsidP="00A672AD">
      <w:pPr>
        <w:numPr>
          <w:ilvl w:val="0"/>
          <w:numId w:val="4"/>
        </w:numPr>
        <w:rPr>
          <w:rFonts w:ascii="Calibri" w:hAnsi="Calibri" w:cs="Arial"/>
        </w:rPr>
      </w:pPr>
      <w:r w:rsidRPr="00676527">
        <w:rPr>
          <w:rFonts w:ascii="Calibri" w:hAnsi="Calibri" w:cs="Arial"/>
        </w:rPr>
        <w:t xml:space="preserve">In investing </w:t>
      </w:r>
      <w:r w:rsidR="00E60F64" w:rsidRPr="00676527">
        <w:rPr>
          <w:rFonts w:ascii="Calibri" w:hAnsi="Calibri" w:cs="Arial"/>
        </w:rPr>
        <w:t>in the i</w:t>
      </w:r>
      <w:r w:rsidRPr="00676527">
        <w:rPr>
          <w:rFonts w:ascii="Calibri" w:hAnsi="Calibri" w:cs="Arial"/>
        </w:rPr>
        <w:t>nfrastructure of the area, CIL is expected to have a positive economic effect on development in the medium to long term.</w:t>
      </w:r>
      <w:r w:rsidR="00EF357F" w:rsidRPr="00676527">
        <w:rPr>
          <w:rFonts w:ascii="Calibri" w:hAnsi="Calibri" w:cs="Arial"/>
        </w:rPr>
        <w:t xml:space="preserve"> </w:t>
      </w:r>
    </w:p>
    <w:p w:rsidR="00A672AD" w:rsidRPr="00676527" w:rsidRDefault="00A672AD" w:rsidP="00A672AD">
      <w:pPr>
        <w:pStyle w:val="ListParagraph"/>
        <w:rPr>
          <w:rFonts w:ascii="Calibri" w:hAnsi="Calibri" w:cs="Arial"/>
        </w:rPr>
      </w:pPr>
    </w:p>
    <w:p w:rsidR="00A672AD" w:rsidRPr="00676527" w:rsidRDefault="00A672AD" w:rsidP="00A672AD">
      <w:pPr>
        <w:numPr>
          <w:ilvl w:val="0"/>
          <w:numId w:val="4"/>
        </w:numPr>
        <w:rPr>
          <w:rFonts w:ascii="Calibri" w:hAnsi="Calibri" w:cs="Arial"/>
        </w:rPr>
      </w:pPr>
      <w:r w:rsidRPr="00676527">
        <w:rPr>
          <w:rFonts w:ascii="Calibri" w:hAnsi="Calibri" w:cs="Arial"/>
        </w:rPr>
        <w:t>The City Council must se</w:t>
      </w:r>
      <w:r w:rsidR="00DB3425" w:rsidRPr="00676527">
        <w:rPr>
          <w:rFonts w:ascii="Calibri" w:hAnsi="Calibri" w:cs="Arial"/>
        </w:rPr>
        <w:t xml:space="preserve">t </w:t>
      </w:r>
      <w:r w:rsidRPr="00676527">
        <w:rPr>
          <w:rFonts w:ascii="Calibri" w:hAnsi="Calibri" w:cs="Arial"/>
        </w:rPr>
        <w:t>CIL rates in a Charging Schedule and can implement these, having undertaken two stages of consultation and an Examination in Public followed by adoption. The 2014 amendments to CIL Regulations Part 3, Regulation 14 mean that when setting CIL rates, the Council must strike an appropriate balance between the desirability to fund infrastructure through CIL and the potential effect (taken as a whole) of the levy on the economic viability of development in the area where CIL charges apply. When considering infrastructure costs, the Council needs to estimate the cost of infrastructure to support development and take into account other sources of funding.</w:t>
      </w:r>
    </w:p>
    <w:p w:rsidR="00A672AD" w:rsidRPr="00676527" w:rsidRDefault="00A672AD" w:rsidP="00A672AD">
      <w:pPr>
        <w:pStyle w:val="ListParagraph"/>
        <w:rPr>
          <w:rFonts w:ascii="Calibri" w:hAnsi="Calibri" w:cs="Arial"/>
        </w:rPr>
      </w:pPr>
    </w:p>
    <w:p w:rsidR="00A672AD" w:rsidRPr="00A672AD" w:rsidRDefault="00A672AD" w:rsidP="00A672AD">
      <w:pPr>
        <w:ind w:firstLine="567"/>
        <w:jc w:val="both"/>
        <w:rPr>
          <w:rFonts w:ascii="Calibri" w:hAnsi="Calibri" w:cs="Arial"/>
        </w:rPr>
      </w:pPr>
      <w:r w:rsidRPr="00A672AD">
        <w:rPr>
          <w:rFonts w:ascii="Calibri" w:hAnsi="Calibri" w:cs="Arial"/>
        </w:rPr>
        <w:t>CIL Regulations 2010 (as amended), Part 3, Regulation 14:</w:t>
      </w:r>
    </w:p>
    <w:p w:rsidR="00A672AD" w:rsidRPr="00A672AD" w:rsidRDefault="00A672AD" w:rsidP="00A672AD">
      <w:pPr>
        <w:ind w:firstLine="567"/>
        <w:jc w:val="both"/>
        <w:rPr>
          <w:rFonts w:ascii="Calibri" w:hAnsi="Calibri" w:cs="Arial"/>
        </w:rPr>
      </w:pPr>
    </w:p>
    <w:p w:rsidR="00A672AD" w:rsidRPr="00A672AD" w:rsidRDefault="00A672AD" w:rsidP="00DB3425">
      <w:pPr>
        <w:ind w:left="567"/>
        <w:jc w:val="both"/>
        <w:rPr>
          <w:rFonts w:ascii="Calibri" w:hAnsi="Calibri" w:cs="Arial"/>
          <w:i/>
        </w:rPr>
      </w:pPr>
      <w:r w:rsidRPr="00A672AD">
        <w:rPr>
          <w:rFonts w:ascii="Calibri" w:hAnsi="Calibri" w:cs="Arial"/>
          <w:i/>
        </w:rPr>
        <w:t>‘14.—(1) </w:t>
      </w:r>
      <w:proofErr w:type="gramStart"/>
      <w:r w:rsidRPr="00A672AD">
        <w:rPr>
          <w:rFonts w:ascii="Calibri" w:hAnsi="Calibri" w:cs="Arial"/>
          <w:i/>
        </w:rPr>
        <w:t>In</w:t>
      </w:r>
      <w:proofErr w:type="gramEnd"/>
      <w:r w:rsidRPr="00A672AD">
        <w:rPr>
          <w:rFonts w:ascii="Calibri" w:hAnsi="Calibri" w:cs="Arial"/>
          <w:i/>
        </w:rPr>
        <w:t xml:space="preserve"> setting rates (including differential rates) in a charging schedule, a charging authority must strike an appropriate balance between—</w:t>
      </w:r>
    </w:p>
    <w:p w:rsidR="00A672AD" w:rsidRPr="00A672AD" w:rsidRDefault="00A672AD" w:rsidP="00DB3425">
      <w:pPr>
        <w:ind w:left="567"/>
        <w:jc w:val="both"/>
        <w:rPr>
          <w:rFonts w:ascii="Calibri" w:hAnsi="Calibri" w:cs="Arial"/>
          <w:i/>
        </w:rPr>
      </w:pPr>
      <w:r w:rsidRPr="00A672AD">
        <w:rPr>
          <w:rFonts w:ascii="Calibri" w:hAnsi="Calibri" w:cs="Arial"/>
          <w:i/>
        </w:rPr>
        <w:t>(a) the desirability of funding from CIL (in whole or in part) the actual and expected estimated total cost of infrastructure required to support the development of its area, taking into account other actual and expected sources of funding; and</w:t>
      </w:r>
    </w:p>
    <w:p w:rsidR="00A672AD" w:rsidRPr="00A672AD" w:rsidRDefault="00A672AD" w:rsidP="00DB3425">
      <w:pPr>
        <w:ind w:left="567"/>
        <w:jc w:val="both"/>
        <w:rPr>
          <w:rFonts w:ascii="Calibri" w:hAnsi="Calibri" w:cs="Arial"/>
          <w:i/>
        </w:rPr>
      </w:pPr>
      <w:r w:rsidRPr="00A672AD">
        <w:rPr>
          <w:rFonts w:ascii="Calibri" w:hAnsi="Calibri" w:cs="Arial"/>
          <w:i/>
        </w:rPr>
        <w:t xml:space="preserve">(b) </w:t>
      </w:r>
      <w:proofErr w:type="gramStart"/>
      <w:r w:rsidRPr="00A672AD">
        <w:rPr>
          <w:rFonts w:ascii="Calibri" w:hAnsi="Calibri" w:cs="Arial"/>
          <w:i/>
        </w:rPr>
        <w:t>the</w:t>
      </w:r>
      <w:proofErr w:type="gramEnd"/>
      <w:r w:rsidRPr="00A672AD">
        <w:rPr>
          <w:rFonts w:ascii="Calibri" w:hAnsi="Calibri" w:cs="Arial"/>
          <w:i/>
        </w:rPr>
        <w:t xml:space="preserve"> potential effects (taken as a whole) of the imposition of CIL on the economic viability of development across its area.</w:t>
      </w:r>
    </w:p>
    <w:p w:rsidR="00A672AD" w:rsidRPr="00A672AD" w:rsidRDefault="00A672AD" w:rsidP="00DB3425">
      <w:pPr>
        <w:ind w:left="567"/>
        <w:jc w:val="both"/>
        <w:rPr>
          <w:rFonts w:ascii="Calibri" w:hAnsi="Calibri" w:cs="Arial"/>
          <w:i/>
        </w:rPr>
      </w:pPr>
      <w:r w:rsidRPr="00A672AD">
        <w:rPr>
          <w:rFonts w:ascii="Calibri" w:hAnsi="Calibri" w:cs="Arial"/>
          <w:i/>
        </w:rPr>
        <w:t>(2) In setting rates in a charging schedule, a charging authority may also have regard to actual and expected administrative expenses in connection with CIL to the extent that those expenses can be funded from CIL in accordance with regulation 61…’</w:t>
      </w:r>
    </w:p>
    <w:p w:rsidR="00A672AD" w:rsidRPr="00676527" w:rsidRDefault="00A672AD" w:rsidP="00A672AD">
      <w:pPr>
        <w:pStyle w:val="ListParagraph"/>
        <w:rPr>
          <w:rFonts w:ascii="Calibri" w:hAnsi="Calibri" w:cs="Arial"/>
        </w:rPr>
      </w:pPr>
    </w:p>
    <w:p w:rsidR="00951C9A" w:rsidRPr="00676527" w:rsidRDefault="00A672AD" w:rsidP="00951C9A">
      <w:pPr>
        <w:numPr>
          <w:ilvl w:val="0"/>
          <w:numId w:val="4"/>
        </w:numPr>
        <w:rPr>
          <w:rFonts w:ascii="Calibri" w:hAnsi="Calibri" w:cs="Arial"/>
        </w:rPr>
      </w:pPr>
      <w:r w:rsidRPr="00676527">
        <w:rPr>
          <w:rFonts w:ascii="Calibri" w:hAnsi="Calibri" w:cs="Arial"/>
        </w:rPr>
        <w:t xml:space="preserve">Regulation 13 of the CIL Regulations 2010 (as amended) makes provision for the setting of differential rates for different geographical areas, different development types/uses, </w:t>
      </w:r>
      <w:r w:rsidRPr="00676527">
        <w:rPr>
          <w:rFonts w:ascii="Calibri" w:hAnsi="Calibri" w:cs="Arial"/>
        </w:rPr>
        <w:lastRenderedPageBreak/>
        <w:t>and development size or a combination of them. Any differential rate should be justified by economic viability evidence.</w:t>
      </w:r>
    </w:p>
    <w:p w:rsidR="00951C9A" w:rsidRPr="00676527" w:rsidRDefault="00951C9A" w:rsidP="00951C9A">
      <w:pPr>
        <w:ind w:left="360"/>
        <w:rPr>
          <w:rFonts w:ascii="Calibri" w:hAnsi="Calibri" w:cs="Arial"/>
        </w:rPr>
      </w:pPr>
    </w:p>
    <w:p w:rsidR="00951C9A" w:rsidRPr="00676527" w:rsidRDefault="006124DE" w:rsidP="00951C9A">
      <w:pPr>
        <w:numPr>
          <w:ilvl w:val="0"/>
          <w:numId w:val="4"/>
        </w:numPr>
        <w:rPr>
          <w:rFonts w:ascii="Calibri" w:hAnsi="Calibri" w:cs="Arial"/>
        </w:rPr>
      </w:pPr>
      <w:r w:rsidRPr="00951C9A">
        <w:rPr>
          <w:rFonts w:ascii="Calibri" w:hAnsi="Calibri" w:cs="Arial"/>
        </w:rPr>
        <w:t xml:space="preserve">The term ‘taken as a whole’ indicates that economic viability evidence is used to show that CIL </w:t>
      </w:r>
      <w:r w:rsidRPr="00676527">
        <w:rPr>
          <w:rFonts w:ascii="Calibri" w:hAnsi="Calibri" w:cs="Arial"/>
        </w:rPr>
        <w:t>rates can be borne by m</w:t>
      </w:r>
      <w:r w:rsidR="00951C9A" w:rsidRPr="00676527">
        <w:rPr>
          <w:rFonts w:ascii="Calibri" w:hAnsi="Calibri" w:cs="Arial"/>
        </w:rPr>
        <w:t xml:space="preserve">ost development across Oxford. </w:t>
      </w:r>
      <w:r w:rsidRPr="00676527">
        <w:rPr>
          <w:rFonts w:ascii="Calibri" w:hAnsi="Calibri" w:cs="Arial"/>
        </w:rPr>
        <w:t>It does not mean that CIL rates can be borne by each and every development.</w:t>
      </w:r>
      <w:r w:rsidR="00951C9A" w:rsidRPr="00676527">
        <w:rPr>
          <w:rFonts w:ascii="Calibri" w:hAnsi="Calibri" w:cs="Arial"/>
        </w:rPr>
        <w:t xml:space="preserve"> The City Council has used evidence in the Economic Viability Study to inform appropriate CIL rates. </w:t>
      </w:r>
    </w:p>
    <w:p w:rsidR="00951C9A" w:rsidRPr="00676527" w:rsidRDefault="00951C9A" w:rsidP="00951C9A">
      <w:pPr>
        <w:pStyle w:val="ListParagraph"/>
        <w:rPr>
          <w:rFonts w:ascii="Calibri" w:hAnsi="Calibri" w:cs="Arial"/>
        </w:rPr>
      </w:pPr>
    </w:p>
    <w:p w:rsidR="00951C9A" w:rsidRPr="00676527" w:rsidRDefault="00951C9A" w:rsidP="00951C9A">
      <w:pPr>
        <w:numPr>
          <w:ilvl w:val="0"/>
          <w:numId w:val="4"/>
        </w:numPr>
        <w:rPr>
          <w:rFonts w:ascii="Calibri" w:hAnsi="Calibri" w:cs="Arial"/>
        </w:rPr>
      </w:pPr>
      <w:r w:rsidRPr="00676527">
        <w:rPr>
          <w:rFonts w:ascii="Calibri" w:hAnsi="Calibri" w:cs="Arial"/>
        </w:rPr>
        <w:t>Infrastructure and economic viability evidence supporting the Preliminary Draft Charging Schedule illustrates that an appropriate balance between funding infrastructure and economic viability has been sought.</w:t>
      </w:r>
    </w:p>
    <w:p w:rsidR="00296F18" w:rsidRPr="00676527" w:rsidRDefault="00296F18" w:rsidP="00B7765B">
      <w:pPr>
        <w:rPr>
          <w:rFonts w:ascii="Calibri" w:hAnsi="Calibri" w:cs="Arial"/>
          <w:b/>
          <w:color w:val="0000FF"/>
        </w:rPr>
      </w:pPr>
    </w:p>
    <w:p w:rsidR="00621B0F" w:rsidRPr="00861F56" w:rsidRDefault="00951C9A" w:rsidP="00621B0F">
      <w:pPr>
        <w:rPr>
          <w:rFonts w:ascii="Calibri" w:hAnsi="Calibri" w:cs="Arial"/>
          <w:b/>
          <w:color w:val="007373"/>
        </w:rPr>
      </w:pPr>
      <w:r w:rsidRPr="00861F56">
        <w:rPr>
          <w:rFonts w:ascii="Calibri" w:hAnsi="Calibri" w:cs="Arial"/>
          <w:b/>
          <w:color w:val="007373"/>
        </w:rPr>
        <w:t xml:space="preserve">Proposed CIL </w:t>
      </w:r>
      <w:r w:rsidR="00621B0F" w:rsidRPr="00861F56">
        <w:rPr>
          <w:rFonts w:ascii="Calibri" w:hAnsi="Calibri" w:cs="Arial"/>
          <w:b/>
          <w:color w:val="007373"/>
        </w:rPr>
        <w:t>Charg</w:t>
      </w:r>
      <w:r w:rsidRPr="00861F56">
        <w:rPr>
          <w:rFonts w:ascii="Calibri" w:hAnsi="Calibri" w:cs="Arial"/>
          <w:b/>
          <w:color w:val="007373"/>
        </w:rPr>
        <w:t>es</w:t>
      </w:r>
      <w:r w:rsidR="00037D83" w:rsidRPr="00861F56">
        <w:rPr>
          <w:rFonts w:ascii="Calibri" w:hAnsi="Calibri" w:cs="Arial"/>
          <w:b/>
          <w:color w:val="007373"/>
        </w:rPr>
        <w:t xml:space="preserve"> </w:t>
      </w:r>
    </w:p>
    <w:p w:rsidR="00085E41" w:rsidRPr="0089723C" w:rsidRDefault="00085E41" w:rsidP="00085E41">
      <w:pPr>
        <w:ind w:left="360"/>
        <w:rPr>
          <w:rFonts w:asciiTheme="minorHAnsi" w:hAnsiTheme="minorHAnsi" w:cs="Arial"/>
          <w:i/>
        </w:rPr>
      </w:pPr>
    </w:p>
    <w:p w:rsidR="0089723C" w:rsidRPr="0089723C" w:rsidRDefault="0089723C" w:rsidP="0089723C">
      <w:pPr>
        <w:pStyle w:val="ListParagraph"/>
        <w:numPr>
          <w:ilvl w:val="0"/>
          <w:numId w:val="4"/>
        </w:numPr>
        <w:contextualSpacing/>
        <w:jc w:val="both"/>
        <w:rPr>
          <w:rFonts w:asciiTheme="minorHAnsi" w:hAnsiTheme="minorHAnsi" w:cs="Arial"/>
        </w:rPr>
      </w:pPr>
      <w:r w:rsidRPr="0089723C">
        <w:rPr>
          <w:rFonts w:asciiTheme="minorHAnsi" w:hAnsiTheme="minorHAnsi" w:cs="Arial"/>
        </w:rPr>
        <w:t xml:space="preserve">The Economic Viability Study assesses the viability of development in Oxford. The Study shows that the ability of development to support a CIL charge varies by type of development. </w:t>
      </w:r>
    </w:p>
    <w:p w:rsidR="0089723C" w:rsidRPr="0089723C" w:rsidRDefault="0089723C" w:rsidP="0089723C">
      <w:pPr>
        <w:jc w:val="both"/>
        <w:rPr>
          <w:rFonts w:asciiTheme="minorHAnsi" w:hAnsiTheme="minorHAnsi" w:cs="Arial"/>
        </w:rPr>
      </w:pPr>
    </w:p>
    <w:p w:rsidR="0089723C" w:rsidRPr="0089723C" w:rsidRDefault="00A16459" w:rsidP="0089723C">
      <w:pPr>
        <w:pStyle w:val="ListParagraph"/>
        <w:numPr>
          <w:ilvl w:val="0"/>
          <w:numId w:val="4"/>
        </w:numPr>
        <w:contextualSpacing/>
        <w:jc w:val="both"/>
        <w:rPr>
          <w:rFonts w:asciiTheme="minorHAnsi" w:hAnsiTheme="minorHAnsi" w:cs="Arial"/>
        </w:rPr>
      </w:pPr>
      <w:r>
        <w:rPr>
          <w:rFonts w:asciiTheme="minorHAnsi" w:hAnsiTheme="minorHAnsi" w:cs="Arial"/>
        </w:rPr>
        <w:t>The i</w:t>
      </w:r>
      <w:r w:rsidR="0089723C" w:rsidRPr="0089723C">
        <w:rPr>
          <w:rFonts w:asciiTheme="minorHAnsi" w:hAnsiTheme="minorHAnsi" w:cs="Arial"/>
        </w:rPr>
        <w:t>n</w:t>
      </w:r>
      <w:r>
        <w:rPr>
          <w:rFonts w:asciiTheme="minorHAnsi" w:hAnsiTheme="minorHAnsi" w:cs="Arial"/>
        </w:rPr>
        <w:t xml:space="preserve">frastructure needs for strategic developments are often more complex and at a grander scale than for smaller sites. </w:t>
      </w:r>
      <w:r w:rsidR="00A82F48">
        <w:rPr>
          <w:rFonts w:asciiTheme="minorHAnsi" w:hAnsiTheme="minorHAnsi" w:cs="Arial"/>
        </w:rPr>
        <w:t>For these developments it</w:t>
      </w:r>
      <w:r>
        <w:rPr>
          <w:rFonts w:asciiTheme="minorHAnsi" w:hAnsiTheme="minorHAnsi" w:cs="Arial"/>
        </w:rPr>
        <w:t xml:space="preserve"> is also important that </w:t>
      </w:r>
      <w:r w:rsidR="0089723C">
        <w:rPr>
          <w:rFonts w:asciiTheme="minorHAnsi" w:hAnsiTheme="minorHAnsi" w:cs="Arial"/>
        </w:rPr>
        <w:t>funding</w:t>
      </w:r>
      <w:r>
        <w:rPr>
          <w:rFonts w:asciiTheme="minorHAnsi" w:hAnsiTheme="minorHAnsi" w:cs="Arial"/>
        </w:rPr>
        <w:t xml:space="preserve"> is in place </w:t>
      </w:r>
      <w:r w:rsidR="00A82F48">
        <w:rPr>
          <w:rFonts w:asciiTheme="minorHAnsi" w:hAnsiTheme="minorHAnsi" w:cs="Arial"/>
        </w:rPr>
        <w:t>to deliver their</w:t>
      </w:r>
      <w:r w:rsidR="0089723C">
        <w:rPr>
          <w:rFonts w:asciiTheme="minorHAnsi" w:hAnsiTheme="minorHAnsi" w:cs="Arial"/>
        </w:rPr>
        <w:t xml:space="preserve"> key infrastructure </w:t>
      </w:r>
      <w:r w:rsidR="00A82F48">
        <w:rPr>
          <w:rFonts w:asciiTheme="minorHAnsi" w:hAnsiTheme="minorHAnsi" w:cs="Arial"/>
        </w:rPr>
        <w:t>as it will</w:t>
      </w:r>
      <w:r w:rsidR="0089723C">
        <w:rPr>
          <w:rFonts w:asciiTheme="minorHAnsi" w:hAnsiTheme="minorHAnsi" w:cs="Arial"/>
        </w:rPr>
        <w:t xml:space="preserve"> </w:t>
      </w:r>
      <w:r w:rsidR="0089723C" w:rsidRPr="0089723C">
        <w:rPr>
          <w:rFonts w:asciiTheme="minorHAnsi" w:hAnsiTheme="minorHAnsi" w:cs="Arial"/>
        </w:rPr>
        <w:t>enable</w:t>
      </w:r>
      <w:r w:rsidR="00A82F48">
        <w:rPr>
          <w:rFonts w:asciiTheme="minorHAnsi" w:hAnsiTheme="minorHAnsi" w:cs="Arial"/>
        </w:rPr>
        <w:t xml:space="preserve"> development of sites </w:t>
      </w:r>
      <w:r w:rsidR="0089723C">
        <w:rPr>
          <w:rFonts w:asciiTheme="minorHAnsi" w:hAnsiTheme="minorHAnsi" w:cs="Arial"/>
        </w:rPr>
        <w:t>critical to Oxford’s housing and employment growth</w:t>
      </w:r>
      <w:r w:rsidR="0089723C" w:rsidRPr="0089723C">
        <w:rPr>
          <w:rFonts w:asciiTheme="minorHAnsi" w:hAnsiTheme="minorHAnsi" w:cs="Arial"/>
        </w:rPr>
        <w:t xml:space="preserve">. The Council is proposing a nil CIL rate for </w:t>
      </w:r>
      <w:r w:rsidR="00974DBA">
        <w:rPr>
          <w:rFonts w:asciiTheme="minorHAnsi" w:hAnsiTheme="minorHAnsi" w:cs="Arial"/>
        </w:rPr>
        <w:t xml:space="preserve">strategic </w:t>
      </w:r>
      <w:r w:rsidR="0089723C" w:rsidRPr="0089723C">
        <w:rPr>
          <w:rFonts w:asciiTheme="minorHAnsi" w:hAnsiTheme="minorHAnsi" w:cs="Arial"/>
        </w:rPr>
        <w:t xml:space="preserve">sites larger than </w:t>
      </w:r>
      <w:r w:rsidR="00974DBA">
        <w:rPr>
          <w:rFonts w:asciiTheme="minorHAnsi" w:hAnsiTheme="minorHAnsi" w:cs="Arial"/>
        </w:rPr>
        <w:t>a particular threshold</w:t>
      </w:r>
      <w:r w:rsidR="0089723C" w:rsidRPr="0089723C">
        <w:rPr>
          <w:rFonts w:asciiTheme="minorHAnsi" w:hAnsiTheme="minorHAnsi" w:cs="Arial"/>
        </w:rPr>
        <w:t xml:space="preserve"> </w:t>
      </w:r>
      <w:r w:rsidR="00974DBA">
        <w:rPr>
          <w:rFonts w:asciiTheme="minorHAnsi" w:hAnsiTheme="minorHAnsi" w:cs="Arial"/>
        </w:rPr>
        <w:t xml:space="preserve">of C3 </w:t>
      </w:r>
      <w:r w:rsidR="0089723C" w:rsidRPr="0089723C">
        <w:rPr>
          <w:rFonts w:asciiTheme="minorHAnsi" w:hAnsiTheme="minorHAnsi" w:cs="Arial"/>
        </w:rPr>
        <w:t>dwellings</w:t>
      </w:r>
      <w:r w:rsidR="00974DBA">
        <w:rPr>
          <w:rFonts w:asciiTheme="minorHAnsi" w:hAnsiTheme="minorHAnsi" w:cs="Arial"/>
        </w:rPr>
        <w:t xml:space="preserve"> (tbc)</w:t>
      </w:r>
      <w:r w:rsidR="00CA5718">
        <w:rPr>
          <w:rFonts w:asciiTheme="minorHAnsi" w:hAnsiTheme="minorHAnsi" w:cs="Arial"/>
        </w:rPr>
        <w:t>.</w:t>
      </w:r>
    </w:p>
    <w:p w:rsidR="0089723C" w:rsidRPr="0089723C" w:rsidRDefault="0089723C" w:rsidP="0089723C">
      <w:pPr>
        <w:pStyle w:val="ListParagraph"/>
        <w:rPr>
          <w:rFonts w:asciiTheme="minorHAnsi" w:hAnsiTheme="minorHAnsi" w:cs="Arial"/>
        </w:rPr>
      </w:pPr>
    </w:p>
    <w:p w:rsidR="0089723C" w:rsidRPr="0089723C" w:rsidRDefault="0089723C" w:rsidP="0089723C">
      <w:pPr>
        <w:pStyle w:val="ListParagraph"/>
        <w:numPr>
          <w:ilvl w:val="0"/>
          <w:numId w:val="4"/>
        </w:numPr>
        <w:contextualSpacing/>
        <w:jc w:val="both"/>
        <w:rPr>
          <w:rFonts w:asciiTheme="minorHAnsi" w:hAnsiTheme="minorHAnsi" w:cs="Arial"/>
        </w:rPr>
      </w:pPr>
      <w:r w:rsidRPr="0089723C">
        <w:rPr>
          <w:rFonts w:asciiTheme="minorHAnsi" w:hAnsiTheme="minorHAnsi" w:cs="Arial"/>
        </w:rPr>
        <w:t>The proposed CIL rates are shown in Table 1 which also lists strategic sites subject to nil CIL charges. These strategic sites are expected to contribute towards infrastructure through S106 agreements.</w:t>
      </w:r>
    </w:p>
    <w:p w:rsidR="0089723C" w:rsidRPr="0089723C" w:rsidRDefault="0089723C" w:rsidP="00580CA4">
      <w:pPr>
        <w:ind w:left="360"/>
        <w:rPr>
          <w:rFonts w:asciiTheme="minorHAnsi" w:hAnsiTheme="minorHAnsi" w:cs="Arial"/>
        </w:rPr>
      </w:pPr>
    </w:p>
    <w:p w:rsidR="00621B0F" w:rsidRPr="00951C9A" w:rsidRDefault="00621B0F" w:rsidP="00A74976">
      <w:pPr>
        <w:numPr>
          <w:ilvl w:val="0"/>
          <w:numId w:val="4"/>
        </w:numPr>
        <w:rPr>
          <w:rFonts w:ascii="Calibri" w:hAnsi="Calibri" w:cs="Arial"/>
        </w:rPr>
      </w:pPr>
      <w:r w:rsidRPr="0089723C">
        <w:rPr>
          <w:rFonts w:asciiTheme="minorHAnsi" w:hAnsiTheme="minorHAnsi" w:cs="Arial"/>
        </w:rPr>
        <w:t>CIL will be charged in</w:t>
      </w:r>
      <w:r w:rsidRPr="00951C9A">
        <w:rPr>
          <w:rFonts w:ascii="Calibri" w:hAnsi="Calibri" w:cs="Arial"/>
        </w:rPr>
        <w:t xml:space="preserve"> pounds sterling (£) at differential rates according to the type of development set out in the schedule below:</w:t>
      </w:r>
    </w:p>
    <w:p w:rsidR="00621B0F" w:rsidRPr="004D2CED" w:rsidRDefault="00621B0F" w:rsidP="00621B0F">
      <w:pPr>
        <w:rPr>
          <w:rFonts w:ascii="Calibri" w:hAnsi="Calibri"/>
        </w:rPr>
      </w:pPr>
    </w:p>
    <w:tbl>
      <w:tblPr>
        <w:tblW w:w="8429" w:type="dxa"/>
        <w:tblInd w:w="468" w:type="dxa"/>
        <w:tblLook w:val="01E0" w:firstRow="1" w:lastRow="1" w:firstColumn="1" w:lastColumn="1" w:noHBand="0" w:noVBand="0"/>
      </w:tblPr>
      <w:tblGrid>
        <w:gridCol w:w="6660"/>
        <w:gridCol w:w="1769"/>
      </w:tblGrid>
      <w:tr w:rsidR="002B2CFD" w:rsidRPr="00667A91" w:rsidTr="002B2CFD">
        <w:trPr>
          <w:trHeight w:val="469"/>
        </w:trPr>
        <w:tc>
          <w:tcPr>
            <w:tcW w:w="8429" w:type="dxa"/>
            <w:gridSpan w:val="2"/>
            <w:tcBorders>
              <w:bottom w:val="single" w:sz="12" w:space="0" w:color="auto"/>
            </w:tcBorders>
            <w:shd w:val="clear" w:color="auto" w:fill="auto"/>
          </w:tcPr>
          <w:p w:rsidR="002B2CFD" w:rsidRPr="002B2CFD" w:rsidRDefault="002B2CFD" w:rsidP="00EC518E">
            <w:pPr>
              <w:rPr>
                <w:rFonts w:ascii="Calibri" w:hAnsi="Calibri" w:cs="Arial"/>
                <w:b/>
                <w:color w:val="007373"/>
              </w:rPr>
            </w:pPr>
            <w:r w:rsidRPr="002B2CFD">
              <w:rPr>
                <w:rFonts w:ascii="Calibri" w:hAnsi="Calibri" w:cs="Arial"/>
                <w:b/>
              </w:rPr>
              <w:t>Table 1</w:t>
            </w:r>
          </w:p>
        </w:tc>
      </w:tr>
      <w:tr w:rsidR="00621B0F" w:rsidRPr="00667A91" w:rsidTr="00A82F48">
        <w:trPr>
          <w:trHeight w:val="469"/>
        </w:trPr>
        <w:tc>
          <w:tcPr>
            <w:tcW w:w="8429" w:type="dxa"/>
            <w:gridSpan w:val="2"/>
            <w:tcBorders>
              <w:top w:val="single" w:sz="12" w:space="0" w:color="auto"/>
              <w:bottom w:val="single" w:sz="12" w:space="0" w:color="auto"/>
            </w:tcBorders>
            <w:shd w:val="clear" w:color="auto" w:fill="auto"/>
          </w:tcPr>
          <w:p w:rsidR="00621B0F" w:rsidRPr="00951C9A" w:rsidRDefault="00621B0F" w:rsidP="00EC518E">
            <w:pPr>
              <w:rPr>
                <w:rFonts w:ascii="Calibri" w:hAnsi="Calibri" w:cs="Arial"/>
                <w:b/>
                <w:color w:val="0070C0"/>
                <w:sz w:val="28"/>
                <w:szCs w:val="28"/>
              </w:rPr>
            </w:pPr>
            <w:r w:rsidRPr="00861F56">
              <w:rPr>
                <w:rFonts w:ascii="Calibri" w:hAnsi="Calibri" w:cs="Arial"/>
                <w:b/>
                <w:color w:val="007373"/>
                <w:sz w:val="28"/>
                <w:szCs w:val="28"/>
              </w:rPr>
              <w:t>The CIL rates</w:t>
            </w:r>
          </w:p>
        </w:tc>
      </w:tr>
      <w:tr w:rsidR="00621B0F" w:rsidRPr="00667A91" w:rsidTr="00A82F48">
        <w:tc>
          <w:tcPr>
            <w:tcW w:w="6660" w:type="dxa"/>
            <w:tcBorders>
              <w:top w:val="single" w:sz="12" w:space="0" w:color="auto"/>
              <w:bottom w:val="single" w:sz="12" w:space="0" w:color="auto"/>
              <w:right w:val="single" w:sz="2" w:space="0" w:color="auto"/>
            </w:tcBorders>
            <w:shd w:val="clear" w:color="auto" w:fill="auto"/>
          </w:tcPr>
          <w:p w:rsidR="00621B0F" w:rsidRPr="00861F56" w:rsidRDefault="00621B0F" w:rsidP="00EC518E">
            <w:pPr>
              <w:rPr>
                <w:rFonts w:ascii="Calibri" w:hAnsi="Calibri" w:cs="Arial"/>
                <w:b/>
                <w:color w:val="007373"/>
              </w:rPr>
            </w:pPr>
            <w:r w:rsidRPr="00861F56">
              <w:rPr>
                <w:rFonts w:ascii="Calibri" w:hAnsi="Calibri" w:cs="Arial"/>
                <w:b/>
                <w:color w:val="007373"/>
              </w:rPr>
              <w:t xml:space="preserve">Development type </w:t>
            </w:r>
          </w:p>
        </w:tc>
        <w:tc>
          <w:tcPr>
            <w:tcW w:w="1769" w:type="dxa"/>
            <w:tcBorders>
              <w:top w:val="single" w:sz="12" w:space="0" w:color="auto"/>
              <w:left w:val="single" w:sz="2" w:space="0" w:color="auto"/>
              <w:bottom w:val="single" w:sz="12" w:space="0" w:color="auto"/>
            </w:tcBorders>
            <w:shd w:val="clear" w:color="auto" w:fill="auto"/>
          </w:tcPr>
          <w:p w:rsidR="00621B0F" w:rsidRPr="00861F56" w:rsidRDefault="00621B0F" w:rsidP="00EC518E">
            <w:pPr>
              <w:rPr>
                <w:rFonts w:ascii="Calibri" w:hAnsi="Calibri" w:cs="Arial"/>
                <w:b/>
                <w:color w:val="007373"/>
              </w:rPr>
            </w:pPr>
            <w:r w:rsidRPr="00861F56">
              <w:rPr>
                <w:rFonts w:ascii="Calibri" w:hAnsi="Calibri" w:cs="Arial"/>
                <w:b/>
                <w:color w:val="007373"/>
              </w:rPr>
              <w:t>CIL Rate/m</w:t>
            </w:r>
            <w:r w:rsidRPr="00861F56">
              <w:rPr>
                <w:rFonts w:ascii="Calibri" w:hAnsi="Calibri" w:cs="Arial"/>
                <w:b/>
                <w:color w:val="007373"/>
                <w:vertAlign w:val="superscript"/>
              </w:rPr>
              <w:t>2</w:t>
            </w:r>
          </w:p>
        </w:tc>
      </w:tr>
      <w:tr w:rsidR="00621B0F" w:rsidRPr="00085E41" w:rsidTr="00A82F48">
        <w:tc>
          <w:tcPr>
            <w:tcW w:w="6660" w:type="dxa"/>
            <w:tcBorders>
              <w:top w:val="single" w:sz="12"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A1 Shops</w:t>
            </w:r>
          </w:p>
        </w:tc>
        <w:tc>
          <w:tcPr>
            <w:tcW w:w="1769" w:type="dxa"/>
            <w:tcBorders>
              <w:top w:val="single" w:sz="12" w:space="0" w:color="auto"/>
              <w:left w:val="single" w:sz="2" w:space="0" w:color="auto"/>
              <w:bottom w:val="single" w:sz="4" w:space="0" w:color="auto"/>
            </w:tcBorders>
          </w:tcPr>
          <w:p w:rsidR="00621B0F" w:rsidRPr="00CB0A9E" w:rsidRDefault="00621B0F" w:rsidP="00D841DE">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A2 Financial and professional services</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pPr>
            <w:r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A3 Restaurants and cafés</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pPr>
            <w:r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A4 Drinking establishments</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pPr>
            <w:r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A5 Hot food takeaways</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pPr>
            <w:r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B1 Business</w:t>
            </w:r>
          </w:p>
        </w:tc>
        <w:tc>
          <w:tcPr>
            <w:tcW w:w="1769" w:type="dxa"/>
            <w:tcBorders>
              <w:top w:val="single" w:sz="4" w:space="0" w:color="auto"/>
              <w:left w:val="single" w:sz="2" w:space="0" w:color="auto"/>
              <w:bottom w:val="single" w:sz="4" w:space="0" w:color="auto"/>
            </w:tcBorders>
          </w:tcPr>
          <w:p w:rsidR="00621B0F" w:rsidRPr="00CB0A9E" w:rsidRDefault="00295ED9" w:rsidP="00257831">
            <w:pPr>
              <w:jc w:val="center"/>
              <w:rPr>
                <w:rFonts w:ascii="Calibri" w:hAnsi="Calibri" w:cs="Arial"/>
                <w:sz w:val="22"/>
                <w:szCs w:val="22"/>
              </w:rPr>
            </w:pPr>
            <w:r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B2 General industrial</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rPr>
                <w:rFonts w:ascii="Calibri" w:hAnsi="Calibri" w:cs="Arial"/>
                <w:sz w:val="22"/>
                <w:szCs w:val="22"/>
              </w:rPr>
            </w:pPr>
            <w:r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B8 Storage or distribution</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rPr>
                <w:rFonts w:ascii="Calibri" w:hAnsi="Calibri" w:cs="Arial"/>
                <w:sz w:val="22"/>
                <w:szCs w:val="22"/>
              </w:rPr>
            </w:pPr>
            <w:r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C1 Hotels</w:t>
            </w:r>
          </w:p>
        </w:tc>
        <w:tc>
          <w:tcPr>
            <w:tcW w:w="1769" w:type="dxa"/>
            <w:tcBorders>
              <w:top w:val="single" w:sz="4" w:space="0" w:color="auto"/>
              <w:left w:val="single" w:sz="2" w:space="0" w:color="auto"/>
              <w:bottom w:val="single" w:sz="4" w:space="0" w:color="auto"/>
            </w:tcBorders>
          </w:tcPr>
          <w:p w:rsidR="00621B0F" w:rsidRPr="00CB0A9E" w:rsidRDefault="00295ED9" w:rsidP="00C007A4">
            <w:pPr>
              <w:jc w:val="center"/>
              <w:rPr>
                <w:rFonts w:ascii="Calibri" w:hAnsi="Calibri" w:cs="Arial"/>
                <w:sz w:val="22"/>
                <w:szCs w:val="22"/>
              </w:rPr>
            </w:pPr>
            <w:r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C2 and C2A Residential institutions and Secure Residential Institution</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 xml:space="preserve">C3 </w:t>
            </w:r>
            <w:proofErr w:type="spellStart"/>
            <w:r w:rsidRPr="00951C9A">
              <w:rPr>
                <w:rStyle w:val="Strong"/>
                <w:rFonts w:ascii="Calibri" w:hAnsi="Calibri"/>
                <w:sz w:val="22"/>
                <w:szCs w:val="22"/>
              </w:rPr>
              <w:t>Dwellinghouses</w:t>
            </w:r>
            <w:proofErr w:type="spellEnd"/>
            <w:r w:rsidRPr="00951C9A">
              <w:rPr>
                <w:rStyle w:val="Strong"/>
                <w:rFonts w:ascii="Calibri" w:hAnsi="Calibri"/>
                <w:sz w:val="22"/>
                <w:szCs w:val="22"/>
              </w:rPr>
              <w:t>*</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C4 Houses in multiple occupation</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Style w:val="Strong"/>
                <w:rFonts w:ascii="Calibri" w:hAnsi="Calibri"/>
                <w:b w:val="0"/>
                <w:sz w:val="22"/>
                <w:szCs w:val="22"/>
              </w:rPr>
            </w:pPr>
            <w:r w:rsidRPr="00951C9A">
              <w:rPr>
                <w:rFonts w:ascii="Calibri" w:hAnsi="Calibri" w:cs="Arial"/>
                <w:b/>
                <w:sz w:val="22"/>
                <w:szCs w:val="22"/>
              </w:rPr>
              <w:lastRenderedPageBreak/>
              <w:t>Student accommodation</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200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D1 Non-residential institutions</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50</w:t>
            </w:r>
          </w:p>
        </w:tc>
      </w:tr>
      <w:tr w:rsidR="00621B0F" w:rsidRPr="00085E41" w:rsidTr="00A82F48">
        <w:tc>
          <w:tcPr>
            <w:tcW w:w="6660" w:type="dxa"/>
            <w:tcBorders>
              <w:top w:val="single" w:sz="4" w:space="0" w:color="auto"/>
              <w:bottom w:val="single" w:sz="4" w:space="0" w:color="auto"/>
              <w:right w:val="single" w:sz="2" w:space="0" w:color="auto"/>
            </w:tcBorders>
          </w:tcPr>
          <w:p w:rsidR="00621B0F" w:rsidRPr="00951C9A" w:rsidRDefault="00621B0F" w:rsidP="00EC518E">
            <w:pPr>
              <w:rPr>
                <w:rFonts w:ascii="Calibri" w:hAnsi="Calibri" w:cs="Arial"/>
                <w:sz w:val="22"/>
                <w:szCs w:val="22"/>
              </w:rPr>
            </w:pPr>
            <w:r w:rsidRPr="00951C9A">
              <w:rPr>
                <w:rStyle w:val="Strong"/>
                <w:rFonts w:ascii="Calibri" w:hAnsi="Calibri"/>
                <w:sz w:val="22"/>
                <w:szCs w:val="22"/>
              </w:rPr>
              <w:t>D2 Assembly and leisure</w:t>
            </w:r>
          </w:p>
        </w:tc>
        <w:tc>
          <w:tcPr>
            <w:tcW w:w="1769" w:type="dxa"/>
            <w:tcBorders>
              <w:top w:val="single" w:sz="4" w:space="0" w:color="auto"/>
              <w:left w:val="single" w:sz="2" w:space="0" w:color="auto"/>
              <w:bottom w:val="single" w:sz="4" w:space="0" w:color="auto"/>
            </w:tcBorders>
          </w:tcPr>
          <w:p w:rsidR="00621B0F" w:rsidRPr="00CB0A9E" w:rsidRDefault="00257831" w:rsidP="00295ED9">
            <w:pPr>
              <w:jc w:val="center"/>
              <w:rPr>
                <w:rFonts w:ascii="Calibri" w:hAnsi="Calibri" w:cs="Arial"/>
                <w:sz w:val="22"/>
                <w:szCs w:val="22"/>
              </w:rPr>
            </w:pPr>
            <w:r w:rsidRPr="00CB0A9E">
              <w:rPr>
                <w:rFonts w:ascii="Calibri" w:hAnsi="Calibri" w:cs="Arial"/>
                <w:sz w:val="22"/>
                <w:szCs w:val="22"/>
              </w:rPr>
              <w:t>£</w:t>
            </w:r>
            <w:r w:rsidR="00295ED9" w:rsidRPr="00CB0A9E">
              <w:rPr>
                <w:rFonts w:ascii="Calibri" w:hAnsi="Calibri" w:cs="Arial"/>
                <w:sz w:val="22"/>
                <w:szCs w:val="22"/>
              </w:rPr>
              <w:t>50</w:t>
            </w:r>
          </w:p>
        </w:tc>
      </w:tr>
      <w:tr w:rsidR="00A82F48" w:rsidRPr="00085E41" w:rsidTr="00A82F48">
        <w:tc>
          <w:tcPr>
            <w:tcW w:w="6660" w:type="dxa"/>
            <w:tcBorders>
              <w:top w:val="single" w:sz="4" w:space="0" w:color="auto"/>
              <w:bottom w:val="single" w:sz="4" w:space="0" w:color="auto"/>
              <w:right w:val="single" w:sz="2" w:space="0" w:color="auto"/>
            </w:tcBorders>
          </w:tcPr>
          <w:p w:rsidR="00A82F48" w:rsidRDefault="00A82F48" w:rsidP="00EC518E">
            <w:pPr>
              <w:rPr>
                <w:rStyle w:val="Strong"/>
                <w:rFonts w:ascii="Calibri" w:hAnsi="Calibri"/>
                <w:sz w:val="22"/>
                <w:szCs w:val="22"/>
              </w:rPr>
            </w:pPr>
            <w:r>
              <w:rPr>
                <w:rStyle w:val="Strong"/>
                <w:rFonts w:ascii="Calibri" w:hAnsi="Calibri"/>
                <w:sz w:val="22"/>
                <w:szCs w:val="22"/>
              </w:rPr>
              <w:t>Strategic sites</w:t>
            </w:r>
            <w:r w:rsidR="00974DBA">
              <w:rPr>
                <w:rStyle w:val="Strong"/>
                <w:rFonts w:ascii="Calibri" w:hAnsi="Calibri"/>
                <w:sz w:val="22"/>
                <w:szCs w:val="22"/>
              </w:rPr>
              <w:t xml:space="preserve"> </w:t>
            </w:r>
            <w:r w:rsidR="00CB0A9E">
              <w:rPr>
                <w:rStyle w:val="Strong"/>
                <w:rFonts w:ascii="Calibri" w:hAnsi="Calibri"/>
                <w:sz w:val="22"/>
                <w:szCs w:val="22"/>
              </w:rPr>
              <w:t xml:space="preserve">(threshold tbc), </w:t>
            </w:r>
            <w:r w:rsidR="00974DBA">
              <w:rPr>
                <w:rStyle w:val="Strong"/>
                <w:rFonts w:ascii="Calibri" w:hAnsi="Calibri"/>
                <w:sz w:val="22"/>
                <w:szCs w:val="22"/>
              </w:rPr>
              <w:t>including:</w:t>
            </w:r>
          </w:p>
          <w:p w:rsidR="00A82F48" w:rsidRDefault="00A82F48" w:rsidP="00580CA4">
            <w:pPr>
              <w:pStyle w:val="ListParagraph"/>
              <w:numPr>
                <w:ilvl w:val="0"/>
                <w:numId w:val="29"/>
              </w:numPr>
              <w:rPr>
                <w:rStyle w:val="Strong"/>
                <w:rFonts w:ascii="Calibri" w:hAnsi="Calibri"/>
                <w:sz w:val="22"/>
                <w:szCs w:val="22"/>
              </w:rPr>
            </w:pPr>
            <w:r>
              <w:rPr>
                <w:rStyle w:val="Strong"/>
                <w:rFonts w:ascii="Calibri" w:hAnsi="Calibri"/>
                <w:sz w:val="22"/>
                <w:szCs w:val="22"/>
              </w:rPr>
              <w:t>Northern Gateway</w:t>
            </w:r>
          </w:p>
          <w:p w:rsidR="00CB0A9E" w:rsidRPr="00580CA4" w:rsidRDefault="00CB0A9E" w:rsidP="00580CA4">
            <w:pPr>
              <w:pStyle w:val="ListParagraph"/>
              <w:numPr>
                <w:ilvl w:val="0"/>
                <w:numId w:val="29"/>
              </w:numPr>
              <w:rPr>
                <w:rStyle w:val="Strong"/>
                <w:rFonts w:ascii="Calibri" w:hAnsi="Calibri"/>
                <w:sz w:val="22"/>
                <w:szCs w:val="22"/>
              </w:rPr>
            </w:pPr>
            <w:r>
              <w:rPr>
                <w:rStyle w:val="Strong"/>
                <w:rFonts w:ascii="Calibri" w:hAnsi="Calibri"/>
                <w:sz w:val="22"/>
                <w:szCs w:val="22"/>
              </w:rPr>
              <w:t>others sites tbc</w:t>
            </w:r>
          </w:p>
        </w:tc>
        <w:tc>
          <w:tcPr>
            <w:tcW w:w="1769" w:type="dxa"/>
            <w:tcBorders>
              <w:top w:val="single" w:sz="4" w:space="0" w:color="auto"/>
              <w:left w:val="single" w:sz="2" w:space="0" w:color="auto"/>
              <w:bottom w:val="single" w:sz="4" w:space="0" w:color="auto"/>
            </w:tcBorders>
          </w:tcPr>
          <w:p w:rsidR="00A82F48" w:rsidRPr="00295ED9" w:rsidRDefault="00A82F48" w:rsidP="00C007A4">
            <w:pPr>
              <w:jc w:val="center"/>
              <w:rPr>
                <w:rFonts w:ascii="Calibri" w:hAnsi="Calibri" w:cs="Arial"/>
                <w:sz w:val="22"/>
                <w:szCs w:val="22"/>
              </w:rPr>
            </w:pPr>
            <w:r w:rsidRPr="00295ED9">
              <w:rPr>
                <w:rFonts w:ascii="Calibri" w:hAnsi="Calibri" w:cs="Arial"/>
                <w:sz w:val="22"/>
                <w:szCs w:val="22"/>
              </w:rPr>
              <w:t>£0</w:t>
            </w:r>
          </w:p>
          <w:p w:rsidR="00A82F48" w:rsidRPr="00A85ACF" w:rsidRDefault="00A82F48" w:rsidP="00A82F48">
            <w:pPr>
              <w:rPr>
                <w:rFonts w:ascii="Calibri" w:hAnsi="Calibri" w:cs="Arial"/>
                <w:sz w:val="22"/>
                <w:szCs w:val="22"/>
                <w:highlight w:val="yellow"/>
              </w:rPr>
            </w:pPr>
            <w:r w:rsidRPr="002B2CFD">
              <w:rPr>
                <w:rFonts w:ascii="Calibri" w:hAnsi="Calibri" w:cs="Arial"/>
                <w:sz w:val="20"/>
                <w:szCs w:val="22"/>
              </w:rPr>
              <w:t>(sites expected to contribute to infrastructure through S106)</w:t>
            </w:r>
          </w:p>
        </w:tc>
      </w:tr>
      <w:tr w:rsidR="00621B0F" w:rsidRPr="00085E41" w:rsidTr="00A82F48">
        <w:tc>
          <w:tcPr>
            <w:tcW w:w="6660" w:type="dxa"/>
            <w:tcBorders>
              <w:top w:val="single" w:sz="4" w:space="0" w:color="auto"/>
              <w:bottom w:val="single" w:sz="12" w:space="0" w:color="auto"/>
              <w:right w:val="single" w:sz="2" w:space="0" w:color="auto"/>
            </w:tcBorders>
          </w:tcPr>
          <w:p w:rsidR="00621B0F" w:rsidRPr="00951C9A" w:rsidRDefault="00621B0F" w:rsidP="00EC518E">
            <w:pPr>
              <w:rPr>
                <w:rFonts w:ascii="Calibri" w:hAnsi="Calibri" w:cs="Arial"/>
                <w:b/>
                <w:sz w:val="22"/>
                <w:szCs w:val="22"/>
              </w:rPr>
            </w:pPr>
            <w:r w:rsidRPr="00951C9A">
              <w:rPr>
                <w:rFonts w:ascii="Calibri" w:hAnsi="Calibri" w:cs="ArialMT"/>
                <w:b/>
                <w:sz w:val="22"/>
                <w:szCs w:val="22"/>
              </w:rPr>
              <w:t>All development types unless stated otherwise in this table</w:t>
            </w:r>
          </w:p>
        </w:tc>
        <w:tc>
          <w:tcPr>
            <w:tcW w:w="1769" w:type="dxa"/>
            <w:tcBorders>
              <w:top w:val="single" w:sz="4" w:space="0" w:color="auto"/>
              <w:left w:val="single" w:sz="2" w:space="0" w:color="auto"/>
              <w:bottom w:val="single" w:sz="12" w:space="0" w:color="auto"/>
            </w:tcBorders>
          </w:tcPr>
          <w:p w:rsidR="00621B0F" w:rsidRPr="00A85ACF" w:rsidRDefault="00295ED9" w:rsidP="00C007A4">
            <w:pPr>
              <w:jc w:val="center"/>
              <w:rPr>
                <w:rFonts w:ascii="Calibri" w:hAnsi="Calibri" w:cs="Arial"/>
                <w:sz w:val="22"/>
                <w:szCs w:val="22"/>
                <w:highlight w:val="yellow"/>
              </w:rPr>
            </w:pPr>
            <w:r w:rsidRPr="00CB0A9E">
              <w:rPr>
                <w:rFonts w:ascii="Calibri" w:hAnsi="Calibri" w:cs="Arial"/>
                <w:sz w:val="22"/>
                <w:szCs w:val="22"/>
              </w:rPr>
              <w:t>£50</w:t>
            </w:r>
            <w:r w:rsidR="00621B0F" w:rsidRPr="00CB0A9E">
              <w:rPr>
                <w:rFonts w:ascii="Calibri" w:hAnsi="Calibri" w:cs="Arial"/>
                <w:sz w:val="22"/>
                <w:szCs w:val="22"/>
              </w:rPr>
              <w:t xml:space="preserve"> standard</w:t>
            </w:r>
            <w:r w:rsidR="00621B0F" w:rsidRPr="002B2CFD">
              <w:rPr>
                <w:rFonts w:ascii="Calibri" w:hAnsi="Calibri" w:cs="Arial"/>
                <w:sz w:val="22"/>
                <w:szCs w:val="22"/>
              </w:rPr>
              <w:t xml:space="preserve"> charge</w:t>
            </w:r>
          </w:p>
        </w:tc>
      </w:tr>
      <w:tr w:rsidR="00621B0F" w:rsidRPr="00667A91" w:rsidTr="00A82F48">
        <w:tc>
          <w:tcPr>
            <w:tcW w:w="8429" w:type="dxa"/>
            <w:gridSpan w:val="2"/>
            <w:tcBorders>
              <w:top w:val="single" w:sz="12" w:space="0" w:color="auto"/>
              <w:bottom w:val="single" w:sz="12" w:space="0" w:color="auto"/>
            </w:tcBorders>
          </w:tcPr>
          <w:p w:rsidR="00621B0F" w:rsidRPr="00667A91" w:rsidRDefault="00621B0F" w:rsidP="00EC518E">
            <w:pPr>
              <w:rPr>
                <w:rFonts w:ascii="Calibri" w:hAnsi="Calibri" w:cs="Arial"/>
                <w:sz w:val="22"/>
                <w:szCs w:val="22"/>
              </w:rPr>
            </w:pPr>
            <w:r w:rsidRPr="00667A91">
              <w:rPr>
                <w:rFonts w:ascii="Calibri" w:hAnsi="Calibri" w:cs="Arial"/>
                <w:b/>
                <w:sz w:val="22"/>
                <w:szCs w:val="22"/>
              </w:rPr>
              <w:t xml:space="preserve">C3 </w:t>
            </w:r>
            <w:r w:rsidRPr="00667A91">
              <w:rPr>
                <w:rFonts w:ascii="Calibri" w:hAnsi="Calibri" w:cs="Arial"/>
                <w:sz w:val="22"/>
                <w:szCs w:val="22"/>
              </w:rPr>
              <w:t xml:space="preserve">includes </w:t>
            </w:r>
            <w:proofErr w:type="spellStart"/>
            <w:r w:rsidRPr="00667A91">
              <w:rPr>
                <w:rFonts w:ascii="Calibri" w:hAnsi="Calibri" w:cs="Arial"/>
                <w:sz w:val="22"/>
                <w:szCs w:val="22"/>
              </w:rPr>
              <w:t>self contained</w:t>
            </w:r>
            <w:proofErr w:type="spellEnd"/>
            <w:r w:rsidRPr="00667A91">
              <w:rPr>
                <w:rFonts w:ascii="Calibri" w:hAnsi="Calibri" w:cs="Arial"/>
                <w:sz w:val="22"/>
                <w:szCs w:val="22"/>
              </w:rPr>
              <w:t xml:space="preserve"> sheltered accommodation</w:t>
            </w:r>
            <w:r w:rsidR="0062019E">
              <w:rPr>
                <w:rFonts w:ascii="Calibri" w:hAnsi="Calibri" w:cs="Arial"/>
                <w:sz w:val="22"/>
                <w:szCs w:val="22"/>
              </w:rPr>
              <w:t xml:space="preserve"> and </w:t>
            </w:r>
            <w:r w:rsidR="00655169">
              <w:rPr>
                <w:rFonts w:ascii="Calibri" w:hAnsi="Calibri" w:cs="Arial"/>
                <w:sz w:val="22"/>
                <w:szCs w:val="22"/>
              </w:rPr>
              <w:t xml:space="preserve">self-contained </w:t>
            </w:r>
            <w:r w:rsidR="0062019E">
              <w:rPr>
                <w:rFonts w:ascii="Calibri" w:hAnsi="Calibri" w:cs="Arial"/>
                <w:sz w:val="22"/>
                <w:szCs w:val="22"/>
              </w:rPr>
              <w:t>graduate accommodation</w:t>
            </w:r>
          </w:p>
          <w:p w:rsidR="000630AB" w:rsidRPr="00667A91" w:rsidRDefault="000630AB" w:rsidP="00EC518E">
            <w:pPr>
              <w:rPr>
                <w:rFonts w:ascii="Calibri" w:hAnsi="Calibri" w:cs="Arial"/>
                <w:sz w:val="22"/>
                <w:szCs w:val="22"/>
              </w:rPr>
            </w:pPr>
            <w:r w:rsidRPr="00667A91">
              <w:rPr>
                <w:rFonts w:ascii="Calibri" w:hAnsi="Calibri" w:cs="Arial"/>
                <w:sz w:val="22"/>
                <w:szCs w:val="22"/>
              </w:rPr>
              <w:t>See Annex</w:t>
            </w:r>
            <w:r w:rsidR="00A06206">
              <w:rPr>
                <w:rFonts w:ascii="Calibri" w:hAnsi="Calibri" w:cs="Arial"/>
                <w:sz w:val="22"/>
                <w:szCs w:val="22"/>
              </w:rPr>
              <w:t xml:space="preserve"> </w:t>
            </w:r>
            <w:r w:rsidRPr="00667A91">
              <w:rPr>
                <w:rFonts w:ascii="Calibri" w:hAnsi="Calibri" w:cs="Arial"/>
                <w:sz w:val="22"/>
                <w:szCs w:val="22"/>
              </w:rPr>
              <w:t xml:space="preserve">1 for reference to Use Classes </w:t>
            </w:r>
            <w:r w:rsidR="002730AA" w:rsidRPr="00667A91">
              <w:rPr>
                <w:rFonts w:ascii="Calibri" w:hAnsi="Calibri" w:cs="Arial"/>
                <w:sz w:val="22"/>
                <w:szCs w:val="22"/>
              </w:rPr>
              <w:t>guide</w:t>
            </w:r>
          </w:p>
        </w:tc>
      </w:tr>
    </w:tbl>
    <w:p w:rsidR="006124DE" w:rsidRDefault="006124DE" w:rsidP="006124DE">
      <w:pPr>
        <w:rPr>
          <w:rFonts w:ascii="Calibri" w:hAnsi="Calibri" w:cs="Arial"/>
          <w:b/>
          <w:color w:val="0000FF"/>
          <w:highlight w:val="yellow"/>
        </w:rPr>
      </w:pPr>
    </w:p>
    <w:p w:rsidR="00296F18" w:rsidRPr="00655169" w:rsidRDefault="00296F18" w:rsidP="006124DE">
      <w:pPr>
        <w:rPr>
          <w:rFonts w:ascii="Calibri" w:hAnsi="Calibri" w:cs="Arial"/>
          <w:b/>
          <w:color w:val="0000FF"/>
          <w:highlight w:val="yellow"/>
        </w:rPr>
      </w:pPr>
    </w:p>
    <w:p w:rsidR="00621B0F" w:rsidRPr="00861F56" w:rsidRDefault="00621B0F" w:rsidP="00621B0F">
      <w:pPr>
        <w:rPr>
          <w:rFonts w:ascii="Calibri" w:hAnsi="Calibri" w:cs="Arial"/>
          <w:b/>
          <w:color w:val="007373"/>
        </w:rPr>
      </w:pPr>
      <w:r w:rsidRPr="00861F56">
        <w:rPr>
          <w:rFonts w:ascii="Calibri" w:hAnsi="Calibri" w:cs="Arial"/>
          <w:b/>
          <w:color w:val="007373"/>
        </w:rPr>
        <w:t xml:space="preserve">CIL liability </w:t>
      </w:r>
    </w:p>
    <w:p w:rsidR="00621B0F" w:rsidRPr="004D2CED" w:rsidRDefault="00621B0F" w:rsidP="00A74976">
      <w:pPr>
        <w:numPr>
          <w:ilvl w:val="0"/>
          <w:numId w:val="4"/>
        </w:numPr>
        <w:rPr>
          <w:rFonts w:ascii="Calibri" w:hAnsi="Calibri" w:cs="Arial"/>
        </w:rPr>
      </w:pPr>
      <w:r>
        <w:rPr>
          <w:rFonts w:ascii="Calibri" w:hAnsi="Calibri" w:cs="Arial"/>
        </w:rPr>
        <w:t>Development liable for CIL payment</w:t>
      </w:r>
      <w:r w:rsidRPr="004D2CED">
        <w:rPr>
          <w:rFonts w:ascii="Calibri" w:hAnsi="Calibri" w:cs="Arial"/>
        </w:rPr>
        <w:t xml:space="preserve"> comprises: </w:t>
      </w:r>
    </w:p>
    <w:p w:rsidR="00621B0F" w:rsidRPr="004D2CED" w:rsidRDefault="00621B0F" w:rsidP="00A74976">
      <w:pPr>
        <w:numPr>
          <w:ilvl w:val="0"/>
          <w:numId w:val="2"/>
        </w:numPr>
        <w:tabs>
          <w:tab w:val="clear" w:pos="540"/>
          <w:tab w:val="num" w:pos="1080"/>
        </w:tabs>
        <w:ind w:left="1080"/>
        <w:rPr>
          <w:rFonts w:ascii="Calibri" w:hAnsi="Calibri" w:cs="Arial"/>
        </w:rPr>
      </w:pPr>
      <w:r w:rsidRPr="004D2CED">
        <w:rPr>
          <w:rFonts w:ascii="Calibri" w:hAnsi="Calibri" w:cs="Arial"/>
        </w:rPr>
        <w:t>Development that creates 100m</w:t>
      </w:r>
      <w:r w:rsidRPr="004D2CED">
        <w:rPr>
          <w:rFonts w:ascii="Calibri" w:hAnsi="Calibri" w:cs="Arial"/>
          <w:vertAlign w:val="superscript"/>
        </w:rPr>
        <w:t>2</w:t>
      </w:r>
      <w:r w:rsidRPr="004D2CED">
        <w:rPr>
          <w:rFonts w:ascii="Calibri" w:hAnsi="Calibri" w:cs="Arial"/>
        </w:rPr>
        <w:t xml:space="preserve"> or more of new build floor space measured as Gross Internal Floor Area (GIA). </w:t>
      </w:r>
    </w:p>
    <w:p w:rsidR="00621B0F" w:rsidRPr="004D2CED" w:rsidRDefault="00621B0F" w:rsidP="00A74976">
      <w:pPr>
        <w:numPr>
          <w:ilvl w:val="0"/>
          <w:numId w:val="2"/>
        </w:numPr>
        <w:tabs>
          <w:tab w:val="clear" w:pos="540"/>
          <w:tab w:val="num" w:pos="1080"/>
        </w:tabs>
        <w:ind w:left="1080"/>
        <w:rPr>
          <w:rFonts w:ascii="Calibri" w:hAnsi="Calibri" w:cs="Arial"/>
        </w:rPr>
      </w:pPr>
      <w:proofErr w:type="gramStart"/>
      <w:r w:rsidRPr="004D2CED">
        <w:rPr>
          <w:rFonts w:ascii="Calibri" w:hAnsi="Calibri" w:cs="Arial"/>
        </w:rPr>
        <w:t>Development of less than 100m</w:t>
      </w:r>
      <w:r w:rsidRPr="004D2CED">
        <w:rPr>
          <w:rFonts w:ascii="Calibri" w:hAnsi="Calibri" w:cs="Arial"/>
          <w:vertAlign w:val="superscript"/>
        </w:rPr>
        <w:t>2</w:t>
      </w:r>
      <w:r w:rsidRPr="004D2CED">
        <w:rPr>
          <w:rFonts w:ascii="Calibri" w:hAnsi="Calibri" w:cs="Arial"/>
        </w:rPr>
        <w:t xml:space="preserve"> new build</w:t>
      </w:r>
      <w:proofErr w:type="gramEnd"/>
      <w:r w:rsidRPr="004D2CED">
        <w:rPr>
          <w:rFonts w:ascii="Calibri" w:hAnsi="Calibri" w:cs="Arial"/>
        </w:rPr>
        <w:t xml:space="preserve"> GIA that results in the creation of one or more dwellings.</w:t>
      </w:r>
    </w:p>
    <w:p w:rsidR="00621B0F" w:rsidRPr="004D2CED" w:rsidRDefault="00621B0F" w:rsidP="00A74976">
      <w:pPr>
        <w:numPr>
          <w:ilvl w:val="0"/>
          <w:numId w:val="2"/>
        </w:numPr>
        <w:tabs>
          <w:tab w:val="clear" w:pos="540"/>
          <w:tab w:val="num" w:pos="1080"/>
        </w:tabs>
        <w:ind w:left="1080"/>
        <w:rPr>
          <w:rFonts w:ascii="Calibri" w:hAnsi="Calibri" w:cs="Arial"/>
        </w:rPr>
      </w:pPr>
      <w:r w:rsidRPr="004D2CED">
        <w:rPr>
          <w:rFonts w:ascii="Calibri" w:hAnsi="Calibri" w:cs="Arial"/>
        </w:rPr>
        <w:t>The conversion of a building that is no longer in lawful use.</w:t>
      </w:r>
    </w:p>
    <w:p w:rsidR="00621B0F" w:rsidRDefault="00621B0F" w:rsidP="00621B0F">
      <w:pPr>
        <w:rPr>
          <w:rFonts w:ascii="Calibri" w:hAnsi="Calibri" w:cs="Arial"/>
        </w:rPr>
      </w:pPr>
    </w:p>
    <w:p w:rsidR="00397D09" w:rsidRPr="004D2CED" w:rsidRDefault="00621B0F" w:rsidP="00A74976">
      <w:pPr>
        <w:numPr>
          <w:ilvl w:val="0"/>
          <w:numId w:val="4"/>
        </w:numPr>
        <w:rPr>
          <w:rFonts w:ascii="Calibri" w:hAnsi="Calibri" w:cs="Arial"/>
        </w:rPr>
      </w:pPr>
      <w:r>
        <w:rPr>
          <w:rFonts w:ascii="Calibri" w:hAnsi="Calibri" w:cs="Arial"/>
        </w:rPr>
        <w:t>Liability to pay CIL</w:t>
      </w:r>
      <w:r w:rsidRPr="004D2CED">
        <w:rPr>
          <w:rFonts w:ascii="Calibri" w:hAnsi="Calibri" w:cs="Arial"/>
        </w:rPr>
        <w:t xml:space="preserve"> on qualifying developments </w:t>
      </w:r>
      <w:r>
        <w:rPr>
          <w:rFonts w:ascii="Calibri" w:hAnsi="Calibri" w:cs="Arial"/>
        </w:rPr>
        <w:t xml:space="preserve">applies </w:t>
      </w:r>
      <w:r w:rsidRPr="004D2CED">
        <w:rPr>
          <w:rFonts w:ascii="Calibri" w:hAnsi="Calibri" w:cs="Arial"/>
        </w:rPr>
        <w:t xml:space="preserve">whether </w:t>
      </w:r>
      <w:r>
        <w:rPr>
          <w:rFonts w:ascii="Calibri" w:hAnsi="Calibri" w:cs="Arial"/>
        </w:rPr>
        <w:t>development</w:t>
      </w:r>
      <w:r w:rsidRPr="004D2CED">
        <w:rPr>
          <w:rFonts w:ascii="Calibri" w:hAnsi="Calibri" w:cs="Arial"/>
        </w:rPr>
        <w:t xml:space="preserve"> require</w:t>
      </w:r>
      <w:r>
        <w:rPr>
          <w:rFonts w:ascii="Calibri" w:hAnsi="Calibri" w:cs="Arial"/>
        </w:rPr>
        <w:t>s</w:t>
      </w:r>
      <w:r w:rsidRPr="004D2CED">
        <w:rPr>
          <w:rFonts w:ascii="Calibri" w:hAnsi="Calibri" w:cs="Arial"/>
        </w:rPr>
        <w:t xml:space="preserve"> planning permission or </w:t>
      </w:r>
      <w:r>
        <w:rPr>
          <w:rFonts w:ascii="Calibri" w:hAnsi="Calibri" w:cs="Arial"/>
        </w:rPr>
        <w:t>is</w:t>
      </w:r>
      <w:r w:rsidRPr="004D2CED">
        <w:rPr>
          <w:rFonts w:ascii="Calibri" w:hAnsi="Calibri" w:cs="Arial"/>
        </w:rPr>
        <w:t xml:space="preserve"> enabled through permitted development orders (General Permitted Development Order, Local Development Orders, </w:t>
      </w:r>
      <w:r w:rsidR="00A5392D">
        <w:rPr>
          <w:rFonts w:ascii="Calibri" w:hAnsi="Calibri" w:cs="Arial"/>
        </w:rPr>
        <w:t xml:space="preserve">Neighbourhood Development Orders, </w:t>
      </w:r>
      <w:r w:rsidRPr="004D2CED">
        <w:rPr>
          <w:rFonts w:ascii="Calibri" w:hAnsi="Calibri" w:cs="Arial"/>
        </w:rPr>
        <w:t>Enterprise Zones)</w:t>
      </w:r>
      <w:r w:rsidRPr="004D2CED">
        <w:rPr>
          <w:rStyle w:val="FootnoteReference"/>
          <w:rFonts w:ascii="Calibri" w:hAnsi="Calibri" w:cs="Arial"/>
        </w:rPr>
        <w:footnoteReference w:id="1"/>
      </w:r>
    </w:p>
    <w:p w:rsidR="00621B0F" w:rsidRDefault="00621B0F" w:rsidP="00621B0F">
      <w:pPr>
        <w:rPr>
          <w:rFonts w:ascii="Calibri" w:hAnsi="Calibri" w:cs="Arial"/>
        </w:rPr>
      </w:pPr>
    </w:p>
    <w:p w:rsidR="00621B0F" w:rsidRPr="00861F56" w:rsidRDefault="00621B0F" w:rsidP="00621B0F">
      <w:pPr>
        <w:rPr>
          <w:rFonts w:ascii="Calibri" w:hAnsi="Calibri" w:cs="Arial"/>
          <w:b/>
          <w:color w:val="007373"/>
        </w:rPr>
      </w:pPr>
      <w:r w:rsidRPr="00861F56">
        <w:rPr>
          <w:rFonts w:ascii="Calibri" w:hAnsi="Calibri" w:cs="Arial"/>
          <w:b/>
          <w:color w:val="007373"/>
        </w:rPr>
        <w:t>CIL exemptions</w:t>
      </w:r>
    </w:p>
    <w:p w:rsidR="00621B0F" w:rsidRPr="004D2CED" w:rsidRDefault="00621B0F" w:rsidP="00A74976">
      <w:pPr>
        <w:numPr>
          <w:ilvl w:val="0"/>
          <w:numId w:val="4"/>
        </w:numPr>
        <w:rPr>
          <w:rFonts w:ascii="Calibri" w:hAnsi="Calibri" w:cs="Arial"/>
        </w:rPr>
      </w:pPr>
      <w:r w:rsidRPr="004D2CED">
        <w:rPr>
          <w:rFonts w:ascii="Calibri" w:hAnsi="Calibri" w:cs="Arial"/>
        </w:rPr>
        <w:t>CIL charge</w:t>
      </w:r>
      <w:r>
        <w:rPr>
          <w:rFonts w:ascii="Calibri" w:hAnsi="Calibri" w:cs="Arial"/>
        </w:rPr>
        <w:t>s</w:t>
      </w:r>
      <w:r w:rsidRPr="004D2CED">
        <w:rPr>
          <w:rFonts w:ascii="Calibri" w:hAnsi="Calibri" w:cs="Arial"/>
        </w:rPr>
        <w:t xml:space="preserve"> will not be levied on:</w:t>
      </w:r>
    </w:p>
    <w:p w:rsidR="00621B0F" w:rsidRDefault="00621B0F" w:rsidP="00A74976">
      <w:pPr>
        <w:numPr>
          <w:ilvl w:val="0"/>
          <w:numId w:val="3"/>
        </w:numPr>
        <w:tabs>
          <w:tab w:val="clear" w:pos="0"/>
          <w:tab w:val="num" w:pos="1080"/>
        </w:tabs>
        <w:ind w:left="1080"/>
        <w:rPr>
          <w:rFonts w:ascii="Calibri" w:hAnsi="Calibri" w:cs="Arial"/>
        </w:rPr>
      </w:pPr>
      <w:r>
        <w:rPr>
          <w:rFonts w:ascii="Calibri" w:hAnsi="Calibri" w:cs="Arial"/>
        </w:rPr>
        <w:t xml:space="preserve">Development that creates less than </w:t>
      </w:r>
      <w:r w:rsidRPr="004D2CED">
        <w:rPr>
          <w:rFonts w:ascii="Calibri" w:hAnsi="Calibri" w:cs="Arial"/>
        </w:rPr>
        <w:t>100m</w:t>
      </w:r>
      <w:r w:rsidRPr="004D2CED">
        <w:rPr>
          <w:rFonts w:ascii="Calibri" w:hAnsi="Calibri" w:cs="Arial"/>
          <w:vertAlign w:val="superscript"/>
        </w:rPr>
        <w:t>2</w:t>
      </w:r>
      <w:r w:rsidRPr="004D2CED">
        <w:rPr>
          <w:rFonts w:ascii="Calibri" w:hAnsi="Calibri" w:cs="Arial"/>
        </w:rPr>
        <w:t xml:space="preserve"> of new build floor space measured as </w:t>
      </w:r>
      <w:r>
        <w:rPr>
          <w:rFonts w:ascii="Calibri" w:hAnsi="Calibri" w:cs="Arial"/>
        </w:rPr>
        <w:t>GIA and does not result in the cr</w:t>
      </w:r>
      <w:r w:rsidR="00435B32">
        <w:rPr>
          <w:rFonts w:ascii="Calibri" w:hAnsi="Calibri" w:cs="Arial"/>
        </w:rPr>
        <w:t>eation of one or more dwellings;</w:t>
      </w:r>
    </w:p>
    <w:p w:rsidR="00621B0F" w:rsidRPr="004D2CED" w:rsidRDefault="00621B0F" w:rsidP="00A74976">
      <w:pPr>
        <w:numPr>
          <w:ilvl w:val="0"/>
          <w:numId w:val="3"/>
        </w:numPr>
        <w:tabs>
          <w:tab w:val="clear" w:pos="0"/>
          <w:tab w:val="num" w:pos="1080"/>
        </w:tabs>
        <w:ind w:left="1080"/>
        <w:rPr>
          <w:rFonts w:ascii="Calibri" w:hAnsi="Calibri" w:cs="Arial"/>
        </w:rPr>
      </w:pPr>
      <w:r w:rsidRPr="004D2CED">
        <w:rPr>
          <w:rFonts w:ascii="Calibri" w:hAnsi="Calibri" w:cs="Arial"/>
        </w:rPr>
        <w:t xml:space="preserve">Buildings into which people do not normally go, or </w:t>
      </w:r>
      <w:r w:rsidR="00B655F6">
        <w:rPr>
          <w:rFonts w:ascii="Calibri" w:hAnsi="Calibri" w:cs="Arial"/>
        </w:rPr>
        <w:t>a building into which people go only intermittently for the purpose of inspecting or maintaining fixed plant or machinery</w:t>
      </w:r>
      <w:r w:rsidRPr="004D2CED">
        <w:rPr>
          <w:rStyle w:val="FootnoteReference"/>
          <w:rFonts w:ascii="Calibri" w:hAnsi="Calibri" w:cs="Arial"/>
        </w:rPr>
        <w:footnoteReference w:id="2"/>
      </w:r>
      <w:r w:rsidR="00435B32">
        <w:rPr>
          <w:rFonts w:ascii="Calibri" w:hAnsi="Calibri" w:cs="Arial"/>
        </w:rPr>
        <w:t>;</w:t>
      </w:r>
    </w:p>
    <w:p w:rsidR="00621B0F" w:rsidRPr="004D2CED" w:rsidRDefault="00621B0F" w:rsidP="00A74976">
      <w:pPr>
        <w:numPr>
          <w:ilvl w:val="0"/>
          <w:numId w:val="3"/>
        </w:numPr>
        <w:tabs>
          <w:tab w:val="clear" w:pos="0"/>
          <w:tab w:val="num" w:pos="1080"/>
        </w:tabs>
        <w:ind w:left="1080"/>
        <w:rPr>
          <w:rFonts w:ascii="Calibri" w:hAnsi="Calibri" w:cs="Arial"/>
        </w:rPr>
      </w:pPr>
      <w:r w:rsidRPr="004D2CED">
        <w:rPr>
          <w:rFonts w:ascii="Calibri" w:hAnsi="Calibri" w:cs="Arial"/>
        </w:rPr>
        <w:t>Buildings for which planning permission was granted for a limited period.</w:t>
      </w:r>
    </w:p>
    <w:p w:rsidR="00621B0F" w:rsidRPr="004D2CED" w:rsidRDefault="00621B0F" w:rsidP="00A74976">
      <w:pPr>
        <w:numPr>
          <w:ilvl w:val="0"/>
          <w:numId w:val="3"/>
        </w:numPr>
        <w:tabs>
          <w:tab w:val="clear" w:pos="0"/>
          <w:tab w:val="num" w:pos="1080"/>
        </w:tabs>
        <w:ind w:left="1080"/>
        <w:rPr>
          <w:rFonts w:ascii="Calibri" w:hAnsi="Calibri" w:cs="Arial"/>
        </w:rPr>
      </w:pPr>
      <w:r w:rsidRPr="004D2CED">
        <w:rPr>
          <w:rFonts w:ascii="Calibri" w:hAnsi="Calibri" w:cs="Arial"/>
        </w:rPr>
        <w:t>Affordable housing, subject to an application by a landowner for CIL relief</w:t>
      </w:r>
      <w:r w:rsidR="0054129F">
        <w:rPr>
          <w:rFonts w:ascii="Calibri" w:hAnsi="Calibri" w:cs="Arial"/>
        </w:rPr>
        <w:t xml:space="preserve"> (CIL regulation 49)</w:t>
      </w:r>
      <w:r w:rsidR="00435B32">
        <w:rPr>
          <w:rFonts w:ascii="Calibri" w:hAnsi="Calibri" w:cs="Arial"/>
        </w:rPr>
        <w:t>;</w:t>
      </w:r>
    </w:p>
    <w:p w:rsidR="00621B0F" w:rsidRDefault="00621B0F" w:rsidP="00A74976">
      <w:pPr>
        <w:numPr>
          <w:ilvl w:val="0"/>
          <w:numId w:val="3"/>
        </w:numPr>
        <w:tabs>
          <w:tab w:val="clear" w:pos="0"/>
          <w:tab w:val="num" w:pos="1080"/>
        </w:tabs>
        <w:ind w:left="1080"/>
        <w:rPr>
          <w:rFonts w:ascii="Calibri" w:hAnsi="Calibri" w:cs="Arial"/>
        </w:rPr>
      </w:pPr>
      <w:r w:rsidRPr="004D2CED">
        <w:rPr>
          <w:rFonts w:ascii="Calibri" w:hAnsi="Calibri" w:cs="Arial"/>
        </w:rPr>
        <w:t>Development by charities for charitable purposes subject to an application by a charity landowner for CIL relief</w:t>
      </w:r>
      <w:r w:rsidR="0054129F">
        <w:rPr>
          <w:rFonts w:ascii="Calibri" w:hAnsi="Calibri" w:cs="Arial"/>
        </w:rPr>
        <w:t xml:space="preserve"> (CIL regulation 43)</w:t>
      </w:r>
      <w:r w:rsidR="00EC3ED5">
        <w:rPr>
          <w:rFonts w:ascii="Calibri" w:hAnsi="Calibri" w:cs="Arial"/>
        </w:rPr>
        <w:t xml:space="preserve"> (mandatory charitable relief)</w:t>
      </w:r>
      <w:r w:rsidR="00435B32">
        <w:rPr>
          <w:rFonts w:ascii="Calibri" w:hAnsi="Calibri" w:cs="Arial"/>
        </w:rPr>
        <w:t>;</w:t>
      </w:r>
    </w:p>
    <w:p w:rsidR="00D841DE" w:rsidRPr="00C7785F" w:rsidRDefault="00D841DE" w:rsidP="00A74976">
      <w:pPr>
        <w:numPr>
          <w:ilvl w:val="0"/>
          <w:numId w:val="3"/>
        </w:numPr>
        <w:tabs>
          <w:tab w:val="clear" w:pos="0"/>
          <w:tab w:val="num" w:pos="1080"/>
        </w:tabs>
        <w:ind w:left="1080"/>
        <w:rPr>
          <w:rFonts w:ascii="Calibri" w:hAnsi="Calibri" w:cs="Arial"/>
        </w:rPr>
      </w:pPr>
      <w:proofErr w:type="spellStart"/>
      <w:r w:rsidRPr="00C7785F">
        <w:rPr>
          <w:rFonts w:ascii="Calibri" w:hAnsi="Calibri" w:cs="Arial"/>
        </w:rPr>
        <w:t>Self build</w:t>
      </w:r>
      <w:proofErr w:type="spellEnd"/>
      <w:r w:rsidR="006C62F0" w:rsidRPr="00C7785F">
        <w:rPr>
          <w:rFonts w:ascii="Calibri" w:hAnsi="Calibri" w:cs="Arial"/>
        </w:rPr>
        <w:t xml:space="preserve"> (CIL r</w:t>
      </w:r>
      <w:r w:rsidR="00371E60" w:rsidRPr="00C7785F">
        <w:rPr>
          <w:rFonts w:ascii="Calibri" w:hAnsi="Calibri" w:cs="Arial"/>
        </w:rPr>
        <w:t xml:space="preserve">egulation </w:t>
      </w:r>
      <w:r w:rsidR="00C7785F" w:rsidRPr="00C7785F">
        <w:rPr>
          <w:rFonts w:ascii="Calibri" w:hAnsi="Calibri" w:cs="Arial"/>
        </w:rPr>
        <w:t>42A and 54A</w:t>
      </w:r>
      <w:r w:rsidR="00C7785F" w:rsidRPr="00C7785F">
        <w:rPr>
          <w:rFonts w:ascii="Calibri" w:hAnsi="Calibri" w:cs="Arial"/>
          <w:vertAlign w:val="superscript"/>
        </w:rPr>
        <w:t>3</w:t>
      </w:r>
      <w:r w:rsidR="00371E60" w:rsidRPr="00C7785F">
        <w:rPr>
          <w:rFonts w:ascii="Calibri" w:hAnsi="Calibri" w:cs="Arial"/>
        </w:rPr>
        <w:t>)</w:t>
      </w:r>
      <w:r w:rsidRPr="00C7785F">
        <w:rPr>
          <w:rFonts w:ascii="Calibri" w:hAnsi="Calibri" w:cs="Arial"/>
        </w:rPr>
        <w:t>.</w:t>
      </w:r>
    </w:p>
    <w:p w:rsidR="00621B0F" w:rsidRPr="004D2CED" w:rsidRDefault="00621B0F" w:rsidP="00621B0F">
      <w:pPr>
        <w:ind w:left="720"/>
        <w:rPr>
          <w:rFonts w:ascii="Calibri" w:hAnsi="Calibri" w:cs="Arial"/>
        </w:rPr>
      </w:pPr>
    </w:p>
    <w:p w:rsidR="00621B0F" w:rsidRDefault="00621B0F" w:rsidP="00A74976">
      <w:pPr>
        <w:numPr>
          <w:ilvl w:val="0"/>
          <w:numId w:val="4"/>
        </w:numPr>
        <w:rPr>
          <w:rFonts w:ascii="Calibri" w:hAnsi="Calibri" w:cs="Arial"/>
        </w:rPr>
      </w:pPr>
      <w:r w:rsidRPr="004D2CED">
        <w:rPr>
          <w:rFonts w:ascii="Calibri" w:hAnsi="Calibri" w:cs="Arial"/>
        </w:rPr>
        <w:t>A charging authority can choose</w:t>
      </w:r>
      <w:r w:rsidR="009C0C59">
        <w:rPr>
          <w:rFonts w:ascii="Calibri" w:hAnsi="Calibri" w:cs="Arial"/>
        </w:rPr>
        <w:t xml:space="preserve"> to offer discretionary relief t</w:t>
      </w:r>
      <w:r w:rsidRPr="004D2CED">
        <w:rPr>
          <w:rFonts w:ascii="Calibri" w:hAnsi="Calibri" w:cs="Arial"/>
        </w:rPr>
        <w:t>o a charity landowner where the greater part of the chargeable development will be held as an investment, from which the profits are applied for charitable purposes</w:t>
      </w:r>
      <w:r w:rsidR="009C0C59">
        <w:rPr>
          <w:rFonts w:ascii="Calibri" w:hAnsi="Calibri" w:cs="Arial"/>
        </w:rPr>
        <w:t xml:space="preserve"> (CIL regulation 44</w:t>
      </w:r>
      <w:r w:rsidR="0054129F">
        <w:rPr>
          <w:rFonts w:ascii="Calibri" w:hAnsi="Calibri" w:cs="Arial"/>
        </w:rPr>
        <w:t>)</w:t>
      </w:r>
      <w:r w:rsidRPr="004D2CED">
        <w:rPr>
          <w:rFonts w:ascii="Calibri" w:hAnsi="Calibri" w:cs="Arial"/>
        </w:rPr>
        <w:t xml:space="preserve">.  </w:t>
      </w:r>
    </w:p>
    <w:p w:rsidR="00621B0F" w:rsidRDefault="00621B0F" w:rsidP="00621B0F">
      <w:pPr>
        <w:rPr>
          <w:rFonts w:ascii="Calibri" w:hAnsi="Calibri" w:cs="Arial"/>
        </w:rPr>
      </w:pPr>
    </w:p>
    <w:p w:rsidR="00621B0F" w:rsidRDefault="00621B0F" w:rsidP="00A74976">
      <w:pPr>
        <w:numPr>
          <w:ilvl w:val="0"/>
          <w:numId w:val="4"/>
        </w:numPr>
        <w:rPr>
          <w:rFonts w:ascii="Calibri" w:hAnsi="Calibri" w:cs="Arial"/>
        </w:rPr>
      </w:pPr>
      <w:r w:rsidRPr="004D2CED">
        <w:rPr>
          <w:rFonts w:ascii="Calibri" w:hAnsi="Calibri" w:cs="Arial"/>
        </w:rPr>
        <w:t>It can also choose to offer exceptional circumstances relief</w:t>
      </w:r>
      <w:r w:rsidR="009C0C59">
        <w:rPr>
          <w:rFonts w:ascii="Calibri" w:hAnsi="Calibri" w:cs="Arial"/>
        </w:rPr>
        <w:t xml:space="preserve"> (CIL regulation 55</w:t>
      </w:r>
      <w:r w:rsidR="0054129F">
        <w:rPr>
          <w:rFonts w:ascii="Calibri" w:hAnsi="Calibri" w:cs="Arial"/>
        </w:rPr>
        <w:t xml:space="preserve">) </w:t>
      </w:r>
      <w:r w:rsidRPr="004D2CED">
        <w:rPr>
          <w:rFonts w:ascii="Calibri" w:hAnsi="Calibri" w:cs="Arial"/>
        </w:rPr>
        <w:t>on the basis of an unacceptable impact on the economic viability of a development</w:t>
      </w:r>
      <w:r>
        <w:rPr>
          <w:rFonts w:ascii="Calibri" w:hAnsi="Calibri" w:cs="Arial"/>
        </w:rPr>
        <w:t>, and where the exemption of a charitable institution from liability to pay CIL would constitute State aid</w:t>
      </w:r>
      <w:r w:rsidR="0054129F">
        <w:rPr>
          <w:rFonts w:ascii="Calibri" w:hAnsi="Calibri" w:cs="Arial"/>
        </w:rPr>
        <w:t xml:space="preserve"> (CIL regulation 45)</w:t>
      </w:r>
      <w:r>
        <w:rPr>
          <w:rFonts w:ascii="Calibri" w:hAnsi="Calibri" w:cs="Arial"/>
        </w:rPr>
        <w:t xml:space="preserve"> and would otherwise be exempt from liability under regulation 43. </w:t>
      </w:r>
      <w:r w:rsidRPr="004D2CED">
        <w:rPr>
          <w:rFonts w:ascii="Calibri" w:hAnsi="Calibri" w:cs="Arial"/>
        </w:rPr>
        <w:t xml:space="preserve"> </w:t>
      </w:r>
    </w:p>
    <w:p w:rsidR="00621B0F" w:rsidRDefault="00621B0F" w:rsidP="00621B0F">
      <w:pPr>
        <w:rPr>
          <w:rFonts w:ascii="Calibri" w:hAnsi="Calibri" w:cs="Arial"/>
        </w:rPr>
      </w:pPr>
    </w:p>
    <w:p w:rsidR="00621B0F" w:rsidRPr="004D2CED" w:rsidRDefault="00035465" w:rsidP="00A74976">
      <w:pPr>
        <w:numPr>
          <w:ilvl w:val="0"/>
          <w:numId w:val="4"/>
        </w:numPr>
        <w:rPr>
          <w:rFonts w:ascii="Calibri" w:hAnsi="Calibri" w:cs="Arial"/>
        </w:rPr>
      </w:pPr>
      <w:r>
        <w:rPr>
          <w:rFonts w:ascii="Calibri" w:hAnsi="Calibri" w:cs="Arial"/>
        </w:rPr>
        <w:t xml:space="preserve">In Oxford </w:t>
      </w:r>
      <w:r w:rsidR="00621B0F" w:rsidRPr="004D2CED">
        <w:rPr>
          <w:rFonts w:ascii="Calibri" w:hAnsi="Calibri" w:cs="Arial"/>
        </w:rPr>
        <w:t>City discretionary</w:t>
      </w:r>
      <w:r w:rsidR="00313A23">
        <w:rPr>
          <w:rFonts w:ascii="Calibri" w:hAnsi="Calibri" w:cs="Arial"/>
        </w:rPr>
        <w:t xml:space="preserve"> charity</w:t>
      </w:r>
      <w:r w:rsidR="00621B0F" w:rsidRPr="004D2CED">
        <w:rPr>
          <w:rFonts w:ascii="Calibri" w:hAnsi="Calibri" w:cs="Arial"/>
        </w:rPr>
        <w:t xml:space="preserve"> relief </w:t>
      </w:r>
      <w:r w:rsidR="00313A23">
        <w:rPr>
          <w:rFonts w:ascii="Calibri" w:hAnsi="Calibri" w:cs="Arial"/>
        </w:rPr>
        <w:t>or exceptional circumstances</w:t>
      </w:r>
      <w:r w:rsidR="00435B32">
        <w:rPr>
          <w:rFonts w:ascii="Calibri" w:hAnsi="Calibri" w:cs="Arial"/>
        </w:rPr>
        <w:t xml:space="preserve"> relief is not available</w:t>
      </w:r>
      <w:r w:rsidR="00313A23">
        <w:rPr>
          <w:rFonts w:ascii="Calibri" w:hAnsi="Calibri" w:cs="Arial"/>
        </w:rPr>
        <w:t xml:space="preserve"> (CIL</w:t>
      </w:r>
      <w:r w:rsidR="0054129F">
        <w:rPr>
          <w:rFonts w:ascii="Calibri" w:hAnsi="Calibri" w:cs="Arial"/>
        </w:rPr>
        <w:t xml:space="preserve"> </w:t>
      </w:r>
      <w:r w:rsidR="006C62F0">
        <w:rPr>
          <w:rFonts w:ascii="Calibri" w:hAnsi="Calibri" w:cs="Arial"/>
        </w:rPr>
        <w:t>r</w:t>
      </w:r>
      <w:r w:rsidR="0054129F">
        <w:rPr>
          <w:rFonts w:ascii="Calibri" w:hAnsi="Calibri" w:cs="Arial"/>
        </w:rPr>
        <w:t xml:space="preserve">egulations 44, 45 </w:t>
      </w:r>
      <w:r w:rsidR="00841843">
        <w:rPr>
          <w:rFonts w:ascii="Calibri" w:hAnsi="Calibri" w:cs="Arial"/>
        </w:rPr>
        <w:t>and</w:t>
      </w:r>
      <w:r w:rsidR="0054129F">
        <w:rPr>
          <w:rFonts w:ascii="Calibri" w:hAnsi="Calibri" w:cs="Arial"/>
        </w:rPr>
        <w:t xml:space="preserve"> 55</w:t>
      </w:r>
      <w:r w:rsidR="00313A23">
        <w:rPr>
          <w:rFonts w:ascii="Calibri" w:hAnsi="Calibri" w:cs="Arial"/>
        </w:rPr>
        <w:t>)</w:t>
      </w:r>
      <w:r w:rsidR="0054129F">
        <w:rPr>
          <w:rFonts w:ascii="Calibri" w:hAnsi="Calibri" w:cs="Arial"/>
        </w:rPr>
        <w:t xml:space="preserve">. </w:t>
      </w:r>
    </w:p>
    <w:p w:rsidR="00621B0F" w:rsidRDefault="00621B0F" w:rsidP="00621B0F">
      <w:pPr>
        <w:rPr>
          <w:rFonts w:ascii="Calibri" w:hAnsi="Calibri" w:cs="Arial"/>
        </w:rPr>
      </w:pPr>
    </w:p>
    <w:p w:rsidR="000630AB" w:rsidRPr="00861F56" w:rsidRDefault="00621B0F" w:rsidP="00621B0F">
      <w:pPr>
        <w:rPr>
          <w:rFonts w:ascii="Calibri" w:hAnsi="Calibri" w:cs="Arial"/>
          <w:b/>
          <w:color w:val="007373"/>
        </w:rPr>
      </w:pPr>
      <w:r w:rsidRPr="00861F56">
        <w:rPr>
          <w:rFonts w:ascii="Calibri" w:hAnsi="Calibri" w:cs="Arial"/>
          <w:b/>
          <w:color w:val="007373"/>
        </w:rPr>
        <w:t xml:space="preserve">Calculating the chargeable amount </w:t>
      </w:r>
    </w:p>
    <w:p w:rsidR="00621B0F" w:rsidRPr="008002EC" w:rsidRDefault="00621B0F" w:rsidP="00A74976">
      <w:pPr>
        <w:numPr>
          <w:ilvl w:val="0"/>
          <w:numId w:val="4"/>
        </w:numPr>
        <w:rPr>
          <w:rFonts w:ascii="Calibri" w:hAnsi="Calibri" w:cs="Arial"/>
        </w:rPr>
      </w:pPr>
      <w:r w:rsidRPr="004D2CED">
        <w:rPr>
          <w:rFonts w:ascii="Calibri" w:hAnsi="Calibri" w:cs="Arial"/>
        </w:rPr>
        <w:t xml:space="preserve">The City </w:t>
      </w:r>
      <w:r w:rsidRPr="008002EC">
        <w:rPr>
          <w:rFonts w:ascii="Calibri" w:hAnsi="Calibri" w:cs="Arial"/>
        </w:rPr>
        <w:t xml:space="preserve">Council will calculate the amount of CIL chargeable in accordance </w:t>
      </w:r>
      <w:r w:rsidRPr="00ED1587">
        <w:rPr>
          <w:rFonts w:ascii="Calibri" w:hAnsi="Calibri" w:cs="Arial"/>
        </w:rPr>
        <w:t>with regulation 40 of the Community Infrastructure Levy</w:t>
      </w:r>
      <w:r w:rsidR="00ED1587" w:rsidRPr="00ED1587">
        <w:rPr>
          <w:rFonts w:ascii="Calibri" w:hAnsi="Calibri" w:cs="Arial"/>
        </w:rPr>
        <w:t xml:space="preserve"> (Amendment)</w:t>
      </w:r>
      <w:r w:rsidRPr="00ED1587">
        <w:rPr>
          <w:rFonts w:ascii="Calibri" w:hAnsi="Calibri" w:cs="Arial"/>
        </w:rPr>
        <w:t xml:space="preserve"> Regulations 201</w:t>
      </w:r>
      <w:r w:rsidR="00ED1587" w:rsidRPr="00ED1587">
        <w:rPr>
          <w:rFonts w:ascii="Calibri" w:hAnsi="Calibri" w:cs="Arial"/>
        </w:rPr>
        <w:t>4</w:t>
      </w:r>
      <w:r w:rsidR="00E714E1">
        <w:rPr>
          <w:rFonts w:ascii="Calibri" w:hAnsi="Calibri" w:cs="Arial"/>
        </w:rPr>
        <w:t>.</w:t>
      </w:r>
      <w:r w:rsidRPr="008002EC">
        <w:rPr>
          <w:rFonts w:ascii="Calibri" w:hAnsi="Calibri" w:cs="Arial"/>
        </w:rPr>
        <w:t xml:space="preserve"> </w:t>
      </w:r>
      <w:r w:rsidR="000630AB" w:rsidRPr="008002EC">
        <w:rPr>
          <w:rFonts w:ascii="Calibri" w:hAnsi="Calibri" w:cs="Arial"/>
        </w:rPr>
        <w:t xml:space="preserve">Refer to </w:t>
      </w:r>
      <w:r w:rsidR="006B3A6B" w:rsidRPr="008002EC">
        <w:rPr>
          <w:rFonts w:ascii="Calibri" w:hAnsi="Calibri" w:cs="Arial"/>
        </w:rPr>
        <w:t xml:space="preserve">Annex </w:t>
      </w:r>
      <w:r w:rsidR="00C7785F">
        <w:rPr>
          <w:rFonts w:ascii="Calibri" w:hAnsi="Calibri" w:cs="Arial"/>
        </w:rPr>
        <w:t>2</w:t>
      </w:r>
      <w:r w:rsidR="00C7785F" w:rsidRPr="008002EC">
        <w:rPr>
          <w:rFonts w:ascii="Calibri" w:hAnsi="Calibri" w:cs="Arial"/>
        </w:rPr>
        <w:t xml:space="preserve"> </w:t>
      </w:r>
      <w:r w:rsidR="000630AB" w:rsidRPr="008002EC">
        <w:rPr>
          <w:rFonts w:ascii="Calibri" w:hAnsi="Calibri" w:cs="Arial"/>
        </w:rPr>
        <w:t>for an extract of this regulation.</w:t>
      </w:r>
    </w:p>
    <w:p w:rsidR="00621B0F" w:rsidRPr="008002EC" w:rsidRDefault="00621B0F" w:rsidP="00621B0F">
      <w:pPr>
        <w:rPr>
          <w:rFonts w:ascii="Calibri" w:hAnsi="Calibri" w:cs="Arial"/>
        </w:rPr>
      </w:pPr>
    </w:p>
    <w:p w:rsidR="00621B0F" w:rsidRPr="008002EC" w:rsidRDefault="00621B0F" w:rsidP="00A74976">
      <w:pPr>
        <w:numPr>
          <w:ilvl w:val="0"/>
          <w:numId w:val="4"/>
        </w:numPr>
        <w:rPr>
          <w:rFonts w:ascii="Calibri" w:hAnsi="Calibri" w:cs="Arial"/>
        </w:rPr>
      </w:pPr>
      <w:r w:rsidRPr="008002EC">
        <w:rPr>
          <w:rFonts w:ascii="Calibri" w:hAnsi="Calibri" w:cs="Arial"/>
        </w:rPr>
        <w:t xml:space="preserve">The relevant rate (R) for each development type is shown in the Charging Schedule above and the Gross Internal Area (GIA) is measured and calculated in accordance with the Royal Institute </w:t>
      </w:r>
      <w:r w:rsidRPr="00C7785F">
        <w:rPr>
          <w:rFonts w:ascii="Calibri" w:hAnsi="Calibri" w:cs="Arial"/>
        </w:rPr>
        <w:t>of Chartered Surveyors (RICS)</w:t>
      </w:r>
      <w:r w:rsidRPr="008002EC">
        <w:rPr>
          <w:rFonts w:ascii="Calibri" w:hAnsi="Calibri" w:cs="Arial"/>
        </w:rPr>
        <w:t xml:space="preserve"> Code of Measuring Practice.</w:t>
      </w:r>
      <w:r w:rsidR="00AC5879" w:rsidRPr="008002EC">
        <w:rPr>
          <w:rFonts w:ascii="Calibri" w:hAnsi="Calibri" w:cs="Arial"/>
        </w:rPr>
        <w:t xml:space="preserve"> </w:t>
      </w:r>
      <w:r w:rsidR="006B3A6B" w:rsidRPr="008002EC">
        <w:rPr>
          <w:rFonts w:ascii="Calibri" w:hAnsi="Calibri" w:cs="Arial"/>
        </w:rPr>
        <w:t xml:space="preserve">Annex </w:t>
      </w:r>
      <w:r w:rsidR="00C7785F">
        <w:rPr>
          <w:rFonts w:ascii="Calibri" w:hAnsi="Calibri" w:cs="Arial"/>
        </w:rPr>
        <w:t>3</w:t>
      </w:r>
      <w:r w:rsidR="00C7785F" w:rsidRPr="008002EC">
        <w:rPr>
          <w:rFonts w:ascii="Calibri" w:hAnsi="Calibri" w:cs="Arial"/>
        </w:rPr>
        <w:t xml:space="preserve"> </w:t>
      </w:r>
      <w:r w:rsidR="00AC5879" w:rsidRPr="008002EC">
        <w:rPr>
          <w:rFonts w:ascii="Calibri" w:hAnsi="Calibri" w:cs="Arial"/>
        </w:rPr>
        <w:t>sets out an extract of RICS code.</w:t>
      </w:r>
    </w:p>
    <w:p w:rsidR="00621B0F" w:rsidRPr="004D2CED" w:rsidRDefault="00621B0F" w:rsidP="00621B0F">
      <w:pPr>
        <w:rPr>
          <w:rFonts w:ascii="Calibri" w:hAnsi="Calibri" w:cs="Arial"/>
        </w:rPr>
      </w:pPr>
    </w:p>
    <w:p w:rsidR="00397D09" w:rsidRDefault="00621B0F" w:rsidP="00A74976">
      <w:pPr>
        <w:numPr>
          <w:ilvl w:val="0"/>
          <w:numId w:val="4"/>
        </w:numPr>
        <w:rPr>
          <w:rFonts w:ascii="Calibri" w:hAnsi="Calibri" w:cs="Arial"/>
        </w:rPr>
      </w:pPr>
      <w:r>
        <w:rPr>
          <w:rFonts w:ascii="Calibri" w:hAnsi="Calibri" w:cs="Arial"/>
        </w:rPr>
        <w:t>The chargeable amount will reflect</w:t>
      </w:r>
      <w:r w:rsidRPr="004D2CED">
        <w:rPr>
          <w:rFonts w:ascii="Calibri" w:hAnsi="Calibri" w:cs="Arial"/>
        </w:rPr>
        <w:t xml:space="preserve"> inflation by being index linked to RICS’ Building Cost Information Service ‘All-in Tender Price Index’.</w:t>
      </w:r>
    </w:p>
    <w:p w:rsidR="00397D09" w:rsidRDefault="00397D09" w:rsidP="00397D09">
      <w:pPr>
        <w:rPr>
          <w:rFonts w:ascii="Calibri" w:hAnsi="Calibri" w:cs="Arial"/>
        </w:rPr>
      </w:pPr>
    </w:p>
    <w:p w:rsidR="00397D09" w:rsidRPr="004D2CED" w:rsidRDefault="00397D09" w:rsidP="00A74976">
      <w:pPr>
        <w:numPr>
          <w:ilvl w:val="0"/>
          <w:numId w:val="4"/>
        </w:numPr>
        <w:rPr>
          <w:rFonts w:ascii="Calibri" w:hAnsi="Calibri" w:cs="Arial"/>
        </w:rPr>
      </w:pPr>
      <w:r>
        <w:rPr>
          <w:rFonts w:ascii="Calibri" w:hAnsi="Calibri" w:cs="Arial"/>
        </w:rPr>
        <w:t xml:space="preserve">Amended </w:t>
      </w:r>
      <w:r w:rsidRPr="00397D09">
        <w:rPr>
          <w:rFonts w:ascii="Calibri" w:hAnsi="Calibri" w:cs="Arial"/>
        </w:rPr>
        <w:t>CIL Regulations</w:t>
      </w:r>
      <w:r>
        <w:rPr>
          <w:rFonts w:ascii="Calibri" w:hAnsi="Calibri" w:cs="Arial"/>
        </w:rPr>
        <w:t xml:space="preserve"> </w:t>
      </w:r>
      <w:r w:rsidRPr="00397D09">
        <w:rPr>
          <w:rFonts w:ascii="Calibri" w:hAnsi="Calibri" w:cs="Arial"/>
        </w:rPr>
        <w:t xml:space="preserve">mean that </w:t>
      </w:r>
      <w:r>
        <w:rPr>
          <w:rFonts w:ascii="Calibri" w:hAnsi="Calibri" w:cs="Arial"/>
        </w:rPr>
        <w:t xml:space="preserve">for Section 73 applications to vary an existing planning condition, </w:t>
      </w:r>
      <w:r w:rsidRPr="00397D09">
        <w:rPr>
          <w:rFonts w:ascii="Calibri" w:hAnsi="Calibri" w:cs="Arial"/>
        </w:rPr>
        <w:t xml:space="preserve">CIL will only be payable upon any increase in chargeable </w:t>
      </w:r>
      <w:proofErr w:type="spellStart"/>
      <w:r w:rsidRPr="00397D09">
        <w:rPr>
          <w:rFonts w:ascii="Calibri" w:hAnsi="Calibri" w:cs="Arial"/>
        </w:rPr>
        <w:t>floorspace</w:t>
      </w:r>
      <w:proofErr w:type="spellEnd"/>
      <w:r w:rsidRPr="00397D09">
        <w:rPr>
          <w:rFonts w:ascii="Calibri" w:hAnsi="Calibri" w:cs="Arial"/>
        </w:rPr>
        <w:t xml:space="preserve"> from the sec</w:t>
      </w:r>
      <w:r>
        <w:rPr>
          <w:rFonts w:ascii="Calibri" w:hAnsi="Calibri" w:cs="Arial"/>
        </w:rPr>
        <w:t>tion 73 application/permission</w:t>
      </w:r>
      <w:r>
        <w:rPr>
          <w:rStyle w:val="FootnoteReference"/>
          <w:rFonts w:ascii="Calibri" w:hAnsi="Calibri" w:cs="Arial"/>
        </w:rPr>
        <w:footnoteReference w:id="3"/>
      </w:r>
      <w:r>
        <w:rPr>
          <w:rFonts w:ascii="Calibri" w:hAnsi="Calibri" w:cs="Arial"/>
        </w:rPr>
        <w:t>.</w:t>
      </w:r>
    </w:p>
    <w:p w:rsidR="00621B0F" w:rsidRDefault="00621B0F" w:rsidP="00621B0F">
      <w:pPr>
        <w:rPr>
          <w:rFonts w:ascii="Calibri" w:hAnsi="Calibri" w:cs="Arial"/>
          <w:b/>
          <w:color w:val="0000FF"/>
        </w:rPr>
      </w:pPr>
    </w:p>
    <w:p w:rsidR="00621B0F" w:rsidRPr="00861F56" w:rsidRDefault="00621B0F" w:rsidP="00621B0F">
      <w:pPr>
        <w:rPr>
          <w:rFonts w:ascii="Calibri" w:hAnsi="Calibri" w:cs="Arial"/>
          <w:b/>
          <w:color w:val="007373"/>
        </w:rPr>
      </w:pPr>
      <w:r w:rsidRPr="00861F56">
        <w:rPr>
          <w:rFonts w:ascii="Calibri" w:hAnsi="Calibri" w:cs="Arial"/>
          <w:b/>
          <w:color w:val="007373"/>
        </w:rPr>
        <w:t>Netting off existing floor space</w:t>
      </w:r>
    </w:p>
    <w:p w:rsidR="00621B0F" w:rsidRPr="004D2CED" w:rsidRDefault="00621B0F" w:rsidP="00A74976">
      <w:pPr>
        <w:numPr>
          <w:ilvl w:val="0"/>
          <w:numId w:val="4"/>
        </w:numPr>
        <w:rPr>
          <w:rFonts w:ascii="Calibri" w:hAnsi="Calibri" w:cs="Arial"/>
        </w:rPr>
      </w:pPr>
      <w:r>
        <w:rPr>
          <w:rFonts w:ascii="Calibri" w:hAnsi="Calibri" w:cs="Arial"/>
        </w:rPr>
        <w:t xml:space="preserve">In certain circumstances, where a development includes the demolition of an existing building, the existing Gross Internal Area (GIA) can be deducted from the proposed </w:t>
      </w:r>
      <w:proofErr w:type="spellStart"/>
      <w:r>
        <w:rPr>
          <w:rFonts w:ascii="Calibri" w:hAnsi="Calibri" w:cs="Arial"/>
        </w:rPr>
        <w:t>floorspace</w:t>
      </w:r>
      <w:proofErr w:type="spellEnd"/>
      <w:r w:rsidRPr="004D2CED">
        <w:rPr>
          <w:rFonts w:ascii="Calibri" w:hAnsi="Calibri" w:cs="Arial"/>
        </w:rPr>
        <w:t>. The</w:t>
      </w:r>
      <w:r>
        <w:rPr>
          <w:rFonts w:ascii="Calibri" w:hAnsi="Calibri" w:cs="Arial"/>
        </w:rPr>
        <w:t>se</w:t>
      </w:r>
      <w:r w:rsidRPr="004D2CED">
        <w:rPr>
          <w:rFonts w:ascii="Calibri" w:hAnsi="Calibri" w:cs="Arial"/>
        </w:rPr>
        <w:t xml:space="preserve"> deductions in respect of demolition or change of use will only apply where the existing building has been in continuous lawful use</w:t>
      </w:r>
      <w:r w:rsidRPr="004D2CED">
        <w:rPr>
          <w:rStyle w:val="FootnoteReference"/>
          <w:rFonts w:ascii="Calibri" w:hAnsi="Calibri" w:cs="Arial"/>
        </w:rPr>
        <w:footnoteReference w:id="4"/>
      </w:r>
      <w:r w:rsidRPr="004D2CED">
        <w:rPr>
          <w:rFonts w:ascii="Calibri" w:hAnsi="Calibri" w:cs="Arial"/>
        </w:rPr>
        <w:t xml:space="preserve"> for at least six months in the </w:t>
      </w:r>
      <w:r w:rsidR="00375291">
        <w:rPr>
          <w:rFonts w:ascii="Calibri" w:hAnsi="Calibri" w:cs="Arial"/>
        </w:rPr>
        <w:t>3 years</w:t>
      </w:r>
      <w:r w:rsidRPr="004D2CED">
        <w:rPr>
          <w:rFonts w:ascii="Calibri" w:hAnsi="Calibri" w:cs="Arial"/>
        </w:rPr>
        <w:t xml:space="preserve"> prior to the development being permitted.</w:t>
      </w:r>
    </w:p>
    <w:p w:rsidR="00621B0F" w:rsidRDefault="00621B0F" w:rsidP="00621B0F">
      <w:pPr>
        <w:rPr>
          <w:rFonts w:ascii="Calibri" w:hAnsi="Calibri" w:cs="Arial"/>
        </w:rPr>
      </w:pPr>
    </w:p>
    <w:p w:rsidR="00621B0F" w:rsidRPr="004D2CED" w:rsidRDefault="00621B0F" w:rsidP="00A74976">
      <w:pPr>
        <w:numPr>
          <w:ilvl w:val="0"/>
          <w:numId w:val="4"/>
        </w:numPr>
        <w:rPr>
          <w:rFonts w:ascii="Calibri" w:hAnsi="Calibri" w:cs="Arial"/>
        </w:rPr>
      </w:pPr>
      <w:r>
        <w:rPr>
          <w:rFonts w:ascii="Calibri" w:hAnsi="Calibri" w:cs="Arial"/>
        </w:rPr>
        <w:t>Oxford</w:t>
      </w:r>
      <w:r w:rsidRPr="004D2CED">
        <w:rPr>
          <w:rFonts w:ascii="Calibri" w:hAnsi="Calibri" w:cs="Arial"/>
        </w:rPr>
        <w:t xml:space="preserve"> City Council may deem the </w:t>
      </w:r>
      <w:r>
        <w:rPr>
          <w:rFonts w:ascii="Calibri" w:hAnsi="Calibri" w:cs="Arial"/>
        </w:rPr>
        <w:t>Gross Internal Area (GIA)</w:t>
      </w:r>
      <w:r w:rsidRPr="004D2CED">
        <w:rPr>
          <w:rFonts w:ascii="Calibri" w:hAnsi="Calibri" w:cs="Arial"/>
        </w:rPr>
        <w:t xml:space="preserve"> of </w:t>
      </w:r>
      <w:r>
        <w:rPr>
          <w:rFonts w:ascii="Calibri" w:hAnsi="Calibri" w:cs="Arial"/>
        </w:rPr>
        <w:t>a building to be zero where there is no</w:t>
      </w:r>
      <w:r w:rsidR="00F7411B">
        <w:rPr>
          <w:rFonts w:ascii="Calibri" w:hAnsi="Calibri" w:cs="Arial"/>
        </w:rPr>
        <w:t>t</w:t>
      </w:r>
      <w:r w:rsidRPr="004D2CED">
        <w:rPr>
          <w:rFonts w:ascii="Calibri" w:hAnsi="Calibri" w:cs="Arial"/>
        </w:rPr>
        <w:t xml:space="preserve"> sufficient information, or </w:t>
      </w:r>
      <w:r w:rsidR="00F7411B">
        <w:rPr>
          <w:rFonts w:ascii="Calibri" w:hAnsi="Calibri" w:cs="Arial"/>
        </w:rPr>
        <w:t xml:space="preserve">no </w:t>
      </w:r>
      <w:r w:rsidRPr="004D2CED">
        <w:rPr>
          <w:rFonts w:ascii="Calibri" w:hAnsi="Calibri" w:cs="Arial"/>
        </w:rPr>
        <w:t>information of sufficient quality</w:t>
      </w:r>
      <w:r w:rsidR="00F7411B">
        <w:rPr>
          <w:rFonts w:ascii="Calibri" w:hAnsi="Calibri" w:cs="Arial"/>
        </w:rPr>
        <w:t>,</w:t>
      </w:r>
      <w:r w:rsidRPr="004D2CED">
        <w:rPr>
          <w:rFonts w:ascii="Calibri" w:hAnsi="Calibri" w:cs="Arial"/>
        </w:rPr>
        <w:t xml:space="preserve"> regarding the </w:t>
      </w:r>
      <w:r>
        <w:rPr>
          <w:rFonts w:ascii="Calibri" w:hAnsi="Calibri" w:cs="Arial"/>
        </w:rPr>
        <w:t>GIA</w:t>
      </w:r>
      <w:r w:rsidRPr="004D2CED">
        <w:rPr>
          <w:rFonts w:ascii="Calibri" w:hAnsi="Calibri" w:cs="Arial"/>
        </w:rPr>
        <w:t xml:space="preserve"> of a</w:t>
      </w:r>
      <w:r w:rsidR="00AC5879">
        <w:rPr>
          <w:rFonts w:ascii="Calibri" w:hAnsi="Calibri" w:cs="Arial"/>
        </w:rPr>
        <w:t>n existing</w:t>
      </w:r>
      <w:r w:rsidRPr="004D2CED">
        <w:rPr>
          <w:rFonts w:ascii="Calibri" w:hAnsi="Calibri" w:cs="Arial"/>
        </w:rPr>
        <w:t xml:space="preserve"> building or whether it is in lawful use. </w:t>
      </w:r>
    </w:p>
    <w:p w:rsidR="00621B0F" w:rsidRDefault="00621B0F" w:rsidP="00621B0F">
      <w:pPr>
        <w:rPr>
          <w:rFonts w:ascii="Calibri" w:hAnsi="Calibri" w:cs="Arial"/>
        </w:rPr>
      </w:pPr>
    </w:p>
    <w:p w:rsidR="00296F18" w:rsidRPr="004D2CED" w:rsidRDefault="00296F18" w:rsidP="00621B0F">
      <w:pPr>
        <w:rPr>
          <w:rFonts w:ascii="Calibri" w:hAnsi="Calibri" w:cs="Arial"/>
        </w:rPr>
      </w:pPr>
    </w:p>
    <w:p w:rsidR="00621B0F" w:rsidRPr="00861F56" w:rsidRDefault="006B3A6B" w:rsidP="00621B0F">
      <w:pPr>
        <w:rPr>
          <w:rFonts w:ascii="Calibri" w:hAnsi="Calibri" w:cs="Arial"/>
          <w:b/>
          <w:color w:val="007373"/>
        </w:rPr>
      </w:pPr>
      <w:r w:rsidRPr="00861F56">
        <w:rPr>
          <w:rFonts w:ascii="Calibri" w:hAnsi="Calibri" w:cs="Arial"/>
          <w:b/>
          <w:color w:val="007373"/>
        </w:rPr>
        <w:t>Liability for CIL</w:t>
      </w:r>
    </w:p>
    <w:p w:rsidR="0095714D" w:rsidRPr="006B3A6B" w:rsidRDefault="006B3A6B" w:rsidP="00A74976">
      <w:pPr>
        <w:numPr>
          <w:ilvl w:val="0"/>
          <w:numId w:val="4"/>
        </w:numPr>
        <w:rPr>
          <w:rFonts w:ascii="Calibri" w:hAnsi="Calibri" w:cs="Arial"/>
        </w:rPr>
      </w:pPr>
      <w:r w:rsidRPr="006B3A6B">
        <w:rPr>
          <w:rFonts w:ascii="Calibri" w:hAnsi="Calibri" w:cs="Arial"/>
        </w:rPr>
        <w:t>Development will be liable for CIL when</w:t>
      </w:r>
      <w:r w:rsidR="0095714D">
        <w:rPr>
          <w:rFonts w:ascii="Calibri" w:hAnsi="Calibri" w:cs="Arial"/>
        </w:rPr>
        <w:t>:</w:t>
      </w:r>
    </w:p>
    <w:p w:rsidR="0095714D" w:rsidRPr="00427A1C" w:rsidRDefault="0095714D" w:rsidP="00A74976">
      <w:pPr>
        <w:numPr>
          <w:ilvl w:val="0"/>
          <w:numId w:val="9"/>
        </w:numPr>
        <w:tabs>
          <w:tab w:val="clear" w:pos="540"/>
          <w:tab w:val="num" w:pos="900"/>
        </w:tabs>
        <w:ind w:left="900"/>
        <w:rPr>
          <w:rFonts w:ascii="Calibri" w:hAnsi="Calibri" w:cs="Arial"/>
        </w:rPr>
      </w:pPr>
      <w:r w:rsidRPr="00427A1C">
        <w:rPr>
          <w:rFonts w:ascii="Calibri" w:hAnsi="Calibri" w:cs="Arial"/>
        </w:rPr>
        <w:lastRenderedPageBreak/>
        <w:t>Development permitted by a ‘general consent’ (including permitted development) commences on or after 6</w:t>
      </w:r>
      <w:r w:rsidRPr="00427A1C">
        <w:rPr>
          <w:rFonts w:ascii="Calibri" w:hAnsi="Calibri" w:cs="Arial"/>
          <w:vertAlign w:val="superscript"/>
        </w:rPr>
        <w:t>th</w:t>
      </w:r>
      <w:r w:rsidRPr="00427A1C">
        <w:rPr>
          <w:rFonts w:ascii="Calibri" w:hAnsi="Calibri" w:cs="Arial"/>
        </w:rPr>
        <w:t xml:space="preserve"> April 2013</w:t>
      </w:r>
    </w:p>
    <w:p w:rsidR="0095714D" w:rsidRDefault="0095714D" w:rsidP="00A74976">
      <w:pPr>
        <w:numPr>
          <w:ilvl w:val="0"/>
          <w:numId w:val="9"/>
        </w:numPr>
        <w:tabs>
          <w:tab w:val="clear" w:pos="540"/>
          <w:tab w:val="num" w:pos="900"/>
        </w:tabs>
        <w:ind w:left="900"/>
        <w:rPr>
          <w:rFonts w:ascii="Calibri" w:hAnsi="Calibri" w:cs="Arial"/>
        </w:rPr>
      </w:pPr>
      <w:r>
        <w:rPr>
          <w:rFonts w:ascii="Calibri" w:hAnsi="Calibri" w:cs="Arial"/>
        </w:rPr>
        <w:t>P</w:t>
      </w:r>
      <w:r w:rsidRPr="006B3A6B">
        <w:rPr>
          <w:rFonts w:ascii="Calibri" w:hAnsi="Calibri" w:cs="Arial"/>
        </w:rPr>
        <w:t>lanning permission is granted through a decision notice or appeal decision on or af</w:t>
      </w:r>
      <w:r>
        <w:rPr>
          <w:rFonts w:ascii="Calibri" w:hAnsi="Calibri" w:cs="Arial"/>
        </w:rPr>
        <w:t xml:space="preserve">ter the date </w:t>
      </w:r>
      <w:r w:rsidR="00AB72D4">
        <w:rPr>
          <w:rFonts w:ascii="Calibri" w:hAnsi="Calibri" w:cs="Arial"/>
        </w:rPr>
        <w:t>on which CIL is brought into effect</w:t>
      </w:r>
      <w:r w:rsidRPr="006B3A6B">
        <w:rPr>
          <w:rFonts w:ascii="Calibri" w:hAnsi="Calibri" w:cs="Arial"/>
        </w:rPr>
        <w:t xml:space="preserve">. </w:t>
      </w:r>
    </w:p>
    <w:p w:rsidR="0095714D" w:rsidRPr="006B3A6B" w:rsidRDefault="0095714D" w:rsidP="0095714D">
      <w:pPr>
        <w:ind w:left="540"/>
        <w:rPr>
          <w:rFonts w:ascii="Calibri" w:hAnsi="Calibri" w:cs="Arial"/>
        </w:rPr>
      </w:pPr>
    </w:p>
    <w:p w:rsidR="006B3A6B" w:rsidRPr="006B3A6B" w:rsidRDefault="006B3A6B" w:rsidP="00A74976">
      <w:pPr>
        <w:numPr>
          <w:ilvl w:val="0"/>
          <w:numId w:val="4"/>
        </w:numPr>
        <w:rPr>
          <w:rFonts w:ascii="Calibri" w:hAnsi="Calibri" w:cs="Arial"/>
        </w:rPr>
      </w:pPr>
      <w:r w:rsidRPr="006B3A6B">
        <w:rPr>
          <w:rFonts w:ascii="Calibri" w:hAnsi="Calibri" w:cs="Arial"/>
        </w:rPr>
        <w:t>Development will not be liable for CIL when:</w:t>
      </w:r>
    </w:p>
    <w:p w:rsidR="006B3A6B" w:rsidRPr="006B3A6B" w:rsidRDefault="006B3A6B" w:rsidP="00A74976">
      <w:pPr>
        <w:numPr>
          <w:ilvl w:val="0"/>
          <w:numId w:val="9"/>
        </w:numPr>
        <w:tabs>
          <w:tab w:val="clear" w:pos="540"/>
          <w:tab w:val="num" w:pos="900"/>
        </w:tabs>
        <w:ind w:left="900"/>
        <w:rPr>
          <w:rFonts w:ascii="Calibri" w:hAnsi="Calibri" w:cs="Arial"/>
        </w:rPr>
      </w:pPr>
      <w:r w:rsidRPr="006B3A6B">
        <w:rPr>
          <w:rFonts w:ascii="Calibri" w:hAnsi="Calibri" w:cs="Arial"/>
        </w:rPr>
        <w:t xml:space="preserve">Planning permission was granted before </w:t>
      </w:r>
      <w:r w:rsidR="00AB72D4">
        <w:rPr>
          <w:rFonts w:ascii="Calibri" w:hAnsi="Calibri" w:cs="Arial"/>
        </w:rPr>
        <w:t xml:space="preserve">CIL was brought into </w:t>
      </w:r>
      <w:r w:rsidR="00EF2C26">
        <w:rPr>
          <w:rFonts w:ascii="Calibri" w:hAnsi="Calibri" w:cs="Arial"/>
        </w:rPr>
        <w:t>effect.</w:t>
      </w:r>
    </w:p>
    <w:p w:rsidR="006B3A6B" w:rsidRPr="006B3A6B" w:rsidRDefault="006B3A6B" w:rsidP="00A74976">
      <w:pPr>
        <w:numPr>
          <w:ilvl w:val="0"/>
          <w:numId w:val="9"/>
        </w:numPr>
        <w:tabs>
          <w:tab w:val="clear" w:pos="540"/>
          <w:tab w:val="num" w:pos="900"/>
        </w:tabs>
        <w:ind w:left="900"/>
        <w:rPr>
          <w:rFonts w:ascii="Calibri" w:hAnsi="Calibri" w:cs="Arial"/>
        </w:rPr>
      </w:pPr>
      <w:r w:rsidRPr="006B3A6B">
        <w:rPr>
          <w:rFonts w:ascii="Calibri" w:hAnsi="Calibri" w:cs="Arial"/>
        </w:rPr>
        <w:t xml:space="preserve">Outline planning permission was granted before </w:t>
      </w:r>
      <w:r w:rsidR="00AB72D4">
        <w:rPr>
          <w:rFonts w:ascii="Calibri" w:hAnsi="Calibri" w:cs="Arial"/>
        </w:rPr>
        <w:t xml:space="preserve">CIL was brought into </w:t>
      </w:r>
      <w:r w:rsidR="00EF2C26">
        <w:rPr>
          <w:rFonts w:ascii="Calibri" w:hAnsi="Calibri" w:cs="Arial"/>
        </w:rPr>
        <w:t>effect</w:t>
      </w:r>
      <w:r w:rsidRPr="006B3A6B">
        <w:rPr>
          <w:rFonts w:ascii="Calibri" w:hAnsi="Calibri" w:cs="Arial"/>
        </w:rPr>
        <w:t>, but the approval of reserved matters / phases is made after</w:t>
      </w:r>
      <w:r w:rsidR="00AB72D4">
        <w:rPr>
          <w:rFonts w:ascii="Calibri" w:hAnsi="Calibri" w:cs="Arial"/>
        </w:rPr>
        <w:t xml:space="preserve"> CIL was brought into effect</w:t>
      </w:r>
      <w:r w:rsidRPr="006B3A6B">
        <w:rPr>
          <w:rFonts w:ascii="Calibri" w:hAnsi="Calibri" w:cs="Arial"/>
        </w:rPr>
        <w:t xml:space="preserve">. In this instance, the approval of reserved matters / phases does not trigger a liability to pay CIL. </w:t>
      </w:r>
    </w:p>
    <w:p w:rsidR="006B3A6B" w:rsidRDefault="006B3A6B" w:rsidP="006B3A6B">
      <w:pPr>
        <w:rPr>
          <w:rFonts w:ascii="Calibri" w:hAnsi="Calibri" w:cs="Arial"/>
        </w:rPr>
      </w:pPr>
    </w:p>
    <w:p w:rsidR="000C4BED" w:rsidRPr="001A7F48" w:rsidRDefault="00621B0F" w:rsidP="00A74976">
      <w:pPr>
        <w:numPr>
          <w:ilvl w:val="0"/>
          <w:numId w:val="4"/>
        </w:numPr>
        <w:rPr>
          <w:rFonts w:ascii="Calibri" w:hAnsi="Calibri" w:cs="Arial"/>
        </w:rPr>
      </w:pPr>
      <w:r w:rsidRPr="004D2CED">
        <w:rPr>
          <w:rFonts w:ascii="Calibri" w:hAnsi="Calibri" w:cs="Arial"/>
        </w:rPr>
        <w:t>Once planning permission is granted, CIL regulations encourage any party</w:t>
      </w:r>
      <w:r w:rsidR="00F7411B">
        <w:rPr>
          <w:rFonts w:ascii="Calibri" w:hAnsi="Calibri" w:cs="Arial"/>
        </w:rPr>
        <w:t>,</w:t>
      </w:r>
      <w:r w:rsidRPr="004D2CED">
        <w:rPr>
          <w:rFonts w:ascii="Calibri" w:hAnsi="Calibri" w:cs="Arial"/>
        </w:rPr>
        <w:t xml:space="preserve"> (</w:t>
      </w:r>
      <w:r w:rsidR="00F7411B">
        <w:rPr>
          <w:rFonts w:ascii="Calibri" w:hAnsi="Calibri" w:cs="Arial"/>
        </w:rPr>
        <w:t xml:space="preserve">such as a </w:t>
      </w:r>
      <w:r w:rsidRPr="004D2CED">
        <w:rPr>
          <w:rFonts w:ascii="Calibri" w:hAnsi="Calibri" w:cs="Arial"/>
        </w:rPr>
        <w:t xml:space="preserve">developer submitting </w:t>
      </w:r>
      <w:r>
        <w:rPr>
          <w:rFonts w:ascii="Calibri" w:hAnsi="Calibri" w:cs="Arial"/>
        </w:rPr>
        <w:t xml:space="preserve">a </w:t>
      </w:r>
      <w:r w:rsidRPr="004D2CED">
        <w:rPr>
          <w:rFonts w:ascii="Calibri" w:hAnsi="Calibri" w:cs="Arial"/>
        </w:rPr>
        <w:t xml:space="preserve">planning application, </w:t>
      </w:r>
      <w:r w:rsidR="00F7411B">
        <w:rPr>
          <w:rFonts w:ascii="Calibri" w:hAnsi="Calibri" w:cs="Arial"/>
        </w:rPr>
        <w:t xml:space="preserve">or a </w:t>
      </w:r>
      <w:r w:rsidRPr="004D2CED">
        <w:rPr>
          <w:rFonts w:ascii="Calibri" w:hAnsi="Calibri" w:cs="Arial"/>
        </w:rPr>
        <w:t>landowner)</w:t>
      </w:r>
      <w:r w:rsidR="00F7411B">
        <w:rPr>
          <w:rFonts w:ascii="Calibri" w:hAnsi="Calibri" w:cs="Arial"/>
        </w:rPr>
        <w:t>,</w:t>
      </w:r>
      <w:r w:rsidRPr="004D2CED">
        <w:rPr>
          <w:rFonts w:ascii="Calibri" w:hAnsi="Calibri" w:cs="Arial"/>
        </w:rPr>
        <w:t xml:space="preserve"> to </w:t>
      </w:r>
      <w:r w:rsidR="00210228">
        <w:rPr>
          <w:rFonts w:ascii="Calibri" w:hAnsi="Calibri" w:cs="Arial"/>
        </w:rPr>
        <w:t>take</w:t>
      </w:r>
      <w:r w:rsidR="00210228" w:rsidRPr="004D2CED">
        <w:rPr>
          <w:rFonts w:ascii="Calibri" w:hAnsi="Calibri" w:cs="Arial"/>
        </w:rPr>
        <w:t xml:space="preserve"> </w:t>
      </w:r>
      <w:r w:rsidRPr="004D2CED">
        <w:rPr>
          <w:rFonts w:ascii="Calibri" w:hAnsi="Calibri" w:cs="Arial"/>
        </w:rPr>
        <w:t xml:space="preserve">liability </w:t>
      </w:r>
      <w:r w:rsidRPr="001A7F48">
        <w:rPr>
          <w:rFonts w:ascii="Calibri" w:hAnsi="Calibri" w:cs="Arial"/>
        </w:rPr>
        <w:t>to pay the CIL charge. CIL liability runs with the land</w:t>
      </w:r>
      <w:r w:rsidR="00210228" w:rsidRPr="001A7F48">
        <w:rPr>
          <w:rFonts w:ascii="Calibri" w:hAnsi="Calibri" w:cs="Arial"/>
        </w:rPr>
        <w:t>.</w:t>
      </w:r>
      <w:r w:rsidRPr="001A7F48">
        <w:rPr>
          <w:rFonts w:ascii="Calibri" w:hAnsi="Calibri" w:cs="Arial"/>
        </w:rPr>
        <w:t xml:space="preserve"> </w:t>
      </w:r>
      <w:r w:rsidR="00210228" w:rsidRPr="001A7F48">
        <w:rPr>
          <w:rFonts w:ascii="Calibri" w:hAnsi="Calibri" w:cs="Arial"/>
        </w:rPr>
        <w:t>I</w:t>
      </w:r>
      <w:r w:rsidRPr="001A7F48">
        <w:rPr>
          <w:rFonts w:ascii="Calibri" w:hAnsi="Calibri" w:cs="Arial"/>
        </w:rPr>
        <w:t xml:space="preserve">f no party assumes liability to pay before development commences, land owners will be liable to pay the levy. </w:t>
      </w:r>
    </w:p>
    <w:p w:rsidR="00680252" w:rsidRDefault="00680252" w:rsidP="00A06206">
      <w:pPr>
        <w:rPr>
          <w:rFonts w:ascii="Calibri" w:hAnsi="Calibri" w:cs="Arial"/>
        </w:rPr>
      </w:pPr>
    </w:p>
    <w:p w:rsidR="00621B0F" w:rsidRPr="00861F56" w:rsidRDefault="006B3A6B" w:rsidP="00621B0F">
      <w:pPr>
        <w:rPr>
          <w:rFonts w:ascii="Calibri" w:hAnsi="Calibri" w:cs="Arial"/>
          <w:color w:val="007373"/>
        </w:rPr>
      </w:pPr>
      <w:r w:rsidRPr="00861F56">
        <w:rPr>
          <w:rFonts w:ascii="Calibri" w:hAnsi="Calibri" w:cs="Arial"/>
          <w:b/>
          <w:color w:val="007373"/>
        </w:rPr>
        <w:t>Payment of CIL</w:t>
      </w:r>
    </w:p>
    <w:p w:rsidR="00621B0F" w:rsidRPr="001A7F48" w:rsidRDefault="001A7F48" w:rsidP="00A74976">
      <w:pPr>
        <w:numPr>
          <w:ilvl w:val="0"/>
          <w:numId w:val="4"/>
        </w:numPr>
        <w:rPr>
          <w:rFonts w:ascii="Calibri" w:hAnsi="Calibri"/>
        </w:rPr>
      </w:pPr>
      <w:r w:rsidRPr="001A7F48">
        <w:rPr>
          <w:rFonts w:ascii="Calibri" w:hAnsi="Calibri"/>
        </w:rPr>
        <w:t xml:space="preserve">The default position is that </w:t>
      </w:r>
      <w:r w:rsidR="00621B0F" w:rsidRPr="001A7F48">
        <w:rPr>
          <w:rFonts w:ascii="Calibri" w:hAnsi="Calibri"/>
        </w:rPr>
        <w:t>CIL payment is</w:t>
      </w:r>
      <w:r w:rsidR="00457332" w:rsidRPr="001A7F48">
        <w:rPr>
          <w:rFonts w:ascii="Calibri" w:hAnsi="Calibri"/>
        </w:rPr>
        <w:t xml:space="preserve"> due </w:t>
      </w:r>
      <w:r w:rsidRPr="001A7F48">
        <w:rPr>
          <w:rFonts w:ascii="Calibri" w:hAnsi="Calibri"/>
        </w:rPr>
        <w:t xml:space="preserve">within 60 days of the commencement of </w:t>
      </w:r>
      <w:r w:rsidR="00541146" w:rsidRPr="001A7F48">
        <w:rPr>
          <w:rFonts w:ascii="Calibri" w:hAnsi="Calibri"/>
        </w:rPr>
        <w:t>development</w:t>
      </w:r>
      <w:r w:rsidR="00541146">
        <w:rPr>
          <w:rFonts w:ascii="Calibri" w:hAnsi="Calibri"/>
        </w:rPr>
        <w:t>;</w:t>
      </w:r>
      <w:r>
        <w:rPr>
          <w:rFonts w:ascii="Calibri" w:hAnsi="Calibri"/>
        </w:rPr>
        <w:t xml:space="preserve"> however in some cases CIL is due immediately</w:t>
      </w:r>
      <w:r w:rsidRPr="001A7F48">
        <w:rPr>
          <w:rFonts w:ascii="Calibri" w:hAnsi="Calibri"/>
        </w:rPr>
        <w:t>.</w:t>
      </w:r>
      <w:r>
        <w:rPr>
          <w:rStyle w:val="FootnoteReference"/>
          <w:rFonts w:ascii="Calibri" w:hAnsi="Calibri"/>
        </w:rPr>
        <w:footnoteReference w:id="5"/>
      </w:r>
      <w:r w:rsidRPr="001A7F48">
        <w:rPr>
          <w:rFonts w:ascii="Calibri" w:hAnsi="Calibri"/>
        </w:rPr>
        <w:t xml:space="preserve"> </w:t>
      </w:r>
      <w:r w:rsidR="00457332" w:rsidRPr="001A7F48">
        <w:rPr>
          <w:rFonts w:ascii="Calibri" w:hAnsi="Calibri"/>
        </w:rPr>
        <w:t xml:space="preserve">For some developments, instalments may be permitted in accordance </w:t>
      </w:r>
      <w:r w:rsidR="00AC5879" w:rsidRPr="001A7F48">
        <w:rPr>
          <w:rFonts w:ascii="Calibri" w:hAnsi="Calibri"/>
        </w:rPr>
        <w:t>with</w:t>
      </w:r>
      <w:r w:rsidR="00457332" w:rsidRPr="001A7F48">
        <w:rPr>
          <w:rFonts w:ascii="Calibri" w:hAnsi="Calibri"/>
        </w:rPr>
        <w:t xml:space="preserve"> the</w:t>
      </w:r>
      <w:r w:rsidR="00DC60B3" w:rsidRPr="001A7F48">
        <w:rPr>
          <w:rFonts w:ascii="Calibri" w:hAnsi="Calibri"/>
        </w:rPr>
        <w:t xml:space="preserve"> City</w:t>
      </w:r>
      <w:r w:rsidR="00457332" w:rsidRPr="001A7F48">
        <w:rPr>
          <w:rFonts w:ascii="Calibri" w:hAnsi="Calibri"/>
        </w:rPr>
        <w:t xml:space="preserve"> Council</w:t>
      </w:r>
      <w:r w:rsidR="00DC60B3" w:rsidRPr="001A7F48">
        <w:rPr>
          <w:rFonts w:ascii="Calibri" w:hAnsi="Calibri"/>
        </w:rPr>
        <w:t>’</w:t>
      </w:r>
      <w:r w:rsidR="00457332" w:rsidRPr="001A7F48">
        <w:rPr>
          <w:rFonts w:ascii="Calibri" w:hAnsi="Calibri"/>
        </w:rPr>
        <w:t xml:space="preserve">s Instalments policy. </w:t>
      </w:r>
      <w:r w:rsidR="00457332" w:rsidRPr="008002EC">
        <w:rPr>
          <w:rFonts w:ascii="Calibri" w:hAnsi="Calibri"/>
        </w:rPr>
        <w:t xml:space="preserve">Annex </w:t>
      </w:r>
      <w:r w:rsidR="00AD51EA">
        <w:rPr>
          <w:rFonts w:ascii="Calibri" w:hAnsi="Calibri"/>
        </w:rPr>
        <w:t>4</w:t>
      </w:r>
      <w:r w:rsidR="00A06206" w:rsidRPr="008002EC">
        <w:rPr>
          <w:rFonts w:ascii="Calibri" w:hAnsi="Calibri"/>
        </w:rPr>
        <w:t xml:space="preserve"> </w:t>
      </w:r>
      <w:r w:rsidR="00457332" w:rsidRPr="008002EC">
        <w:rPr>
          <w:rFonts w:ascii="Calibri" w:hAnsi="Calibri"/>
        </w:rPr>
        <w:t>of</w:t>
      </w:r>
      <w:r w:rsidR="00AC5879" w:rsidRPr="001A7F48">
        <w:rPr>
          <w:rFonts w:ascii="Calibri" w:hAnsi="Calibri"/>
        </w:rPr>
        <w:t xml:space="preserve"> this document sets out an </w:t>
      </w:r>
      <w:r w:rsidR="00457332" w:rsidRPr="001A7F48">
        <w:rPr>
          <w:rFonts w:ascii="Calibri" w:hAnsi="Calibri"/>
        </w:rPr>
        <w:t>Instalments Policy</w:t>
      </w:r>
      <w:r w:rsidR="0031759D" w:rsidRPr="001A7F48">
        <w:rPr>
          <w:rFonts w:ascii="Calibri" w:hAnsi="Calibri"/>
        </w:rPr>
        <w:t xml:space="preserve">. </w:t>
      </w:r>
    </w:p>
    <w:p w:rsidR="00F35A8D" w:rsidRDefault="00F35A8D" w:rsidP="00621B0F">
      <w:pPr>
        <w:rPr>
          <w:rFonts w:ascii="Calibri" w:hAnsi="Calibri" w:cs="Arial"/>
          <w:b/>
          <w:color w:val="0000FF"/>
        </w:rPr>
      </w:pPr>
    </w:p>
    <w:p w:rsidR="00621B0F" w:rsidRPr="00861F56" w:rsidRDefault="00621B0F" w:rsidP="00621B0F">
      <w:pPr>
        <w:rPr>
          <w:rFonts w:ascii="Calibri" w:hAnsi="Calibri" w:cs="Arial"/>
          <w:b/>
          <w:color w:val="007373"/>
        </w:rPr>
      </w:pPr>
      <w:r w:rsidRPr="00861F56">
        <w:rPr>
          <w:rFonts w:ascii="Calibri" w:hAnsi="Calibri" w:cs="Arial"/>
          <w:b/>
          <w:color w:val="007373"/>
        </w:rPr>
        <w:t>Payments in kind</w:t>
      </w:r>
    </w:p>
    <w:p w:rsidR="00F03D83" w:rsidRPr="006B3A6B" w:rsidRDefault="00621B0F" w:rsidP="00A74976">
      <w:pPr>
        <w:numPr>
          <w:ilvl w:val="0"/>
          <w:numId w:val="4"/>
        </w:numPr>
        <w:rPr>
          <w:rFonts w:ascii="Calibri" w:hAnsi="Calibri" w:cs="Arial"/>
        </w:rPr>
      </w:pPr>
      <w:r w:rsidRPr="004D2CED">
        <w:rPr>
          <w:rFonts w:ascii="Calibri" w:hAnsi="Calibri" w:cs="Arial"/>
        </w:rPr>
        <w:t>In circumstances w</w:t>
      </w:r>
      <w:r w:rsidR="000630AB">
        <w:rPr>
          <w:rFonts w:ascii="Calibri" w:hAnsi="Calibri" w:cs="Arial"/>
        </w:rPr>
        <w:t>h</w:t>
      </w:r>
      <w:r w:rsidRPr="004D2CED">
        <w:rPr>
          <w:rFonts w:ascii="Calibri" w:hAnsi="Calibri" w:cs="Arial"/>
        </w:rPr>
        <w:t xml:space="preserve">ere the liable party and </w:t>
      </w:r>
      <w:r>
        <w:rPr>
          <w:rFonts w:ascii="Calibri" w:hAnsi="Calibri" w:cs="Arial"/>
        </w:rPr>
        <w:t>Oxford</w:t>
      </w:r>
      <w:r w:rsidRPr="004D2CED">
        <w:rPr>
          <w:rFonts w:ascii="Calibri" w:hAnsi="Calibri" w:cs="Arial"/>
        </w:rPr>
        <w:t xml:space="preserve"> City Council agree, payment of the </w:t>
      </w:r>
      <w:r w:rsidRPr="006B3A6B">
        <w:rPr>
          <w:rFonts w:ascii="Calibri" w:hAnsi="Calibri" w:cs="Arial"/>
        </w:rPr>
        <w:t xml:space="preserve">levy may </w:t>
      </w:r>
      <w:r w:rsidR="00F03D83" w:rsidRPr="006B3A6B">
        <w:rPr>
          <w:rFonts w:ascii="Calibri" w:hAnsi="Calibri" w:cs="Arial"/>
        </w:rPr>
        <w:t>be made by transferring land</w:t>
      </w:r>
      <w:r w:rsidRPr="006B3A6B">
        <w:rPr>
          <w:rFonts w:ascii="Calibri" w:hAnsi="Calibri" w:cs="Arial"/>
        </w:rPr>
        <w:t>. The agreement cannot form part of a planning obligation</w:t>
      </w:r>
      <w:r w:rsidR="000C4BED" w:rsidRPr="006B3A6B">
        <w:rPr>
          <w:rFonts w:ascii="Calibri" w:hAnsi="Calibri" w:cs="Arial"/>
        </w:rPr>
        <w:t>,</w:t>
      </w:r>
      <w:r w:rsidRPr="006B3A6B">
        <w:rPr>
          <w:rFonts w:ascii="Calibri" w:hAnsi="Calibri" w:cs="Arial"/>
        </w:rPr>
        <w:t xml:space="preserve"> must be entered into before the chargeable development is commenced</w:t>
      </w:r>
      <w:r w:rsidRPr="006B3A6B">
        <w:rPr>
          <w:rStyle w:val="FootnoteReference"/>
          <w:rFonts w:ascii="Calibri" w:hAnsi="Calibri" w:cs="Arial"/>
        </w:rPr>
        <w:footnoteReference w:id="6"/>
      </w:r>
      <w:r w:rsidR="00F03D83" w:rsidRPr="006B3A6B">
        <w:rPr>
          <w:rFonts w:ascii="Calibri" w:hAnsi="Calibri" w:cs="Arial"/>
        </w:rPr>
        <w:t xml:space="preserve"> and </w:t>
      </w:r>
      <w:r w:rsidR="000C4BED" w:rsidRPr="006B3A6B">
        <w:rPr>
          <w:rFonts w:ascii="Calibri" w:hAnsi="Calibri" w:cs="Arial"/>
        </w:rPr>
        <w:t xml:space="preserve">is </w:t>
      </w:r>
      <w:r w:rsidR="00F03D83" w:rsidRPr="006B3A6B">
        <w:rPr>
          <w:rFonts w:ascii="Calibri" w:hAnsi="Calibri" w:cs="Arial"/>
        </w:rPr>
        <w:t xml:space="preserve">subject to </w:t>
      </w:r>
      <w:r w:rsidR="000C4BED" w:rsidRPr="006B3A6B">
        <w:rPr>
          <w:rFonts w:ascii="Calibri" w:hAnsi="Calibri" w:cs="Arial"/>
        </w:rPr>
        <w:t xml:space="preserve">fulfilling </w:t>
      </w:r>
      <w:r w:rsidR="00F03D83" w:rsidRPr="006B3A6B">
        <w:rPr>
          <w:rFonts w:ascii="Calibri" w:hAnsi="Calibri" w:cs="Arial"/>
        </w:rPr>
        <w:t>the following:</w:t>
      </w:r>
    </w:p>
    <w:p w:rsidR="00F03D83" w:rsidRPr="006B3A6B" w:rsidRDefault="00F03D83" w:rsidP="00A74976">
      <w:pPr>
        <w:numPr>
          <w:ilvl w:val="0"/>
          <w:numId w:val="10"/>
        </w:numPr>
        <w:tabs>
          <w:tab w:val="clear" w:pos="540"/>
          <w:tab w:val="num" w:pos="900"/>
        </w:tabs>
        <w:ind w:left="900"/>
        <w:rPr>
          <w:rFonts w:ascii="Calibri" w:hAnsi="Calibri" w:cs="Arial"/>
        </w:rPr>
      </w:pPr>
      <w:r w:rsidRPr="006B3A6B">
        <w:rPr>
          <w:rFonts w:ascii="Calibri" w:hAnsi="Calibri" w:cs="Arial"/>
        </w:rPr>
        <w:t xml:space="preserve">the acquired land is used to provide or facilitate the provision of infrastructure within </w:t>
      </w:r>
      <w:smartTag w:uri="urn:schemas-microsoft-com:office:smarttags" w:element="place">
        <w:smartTag w:uri="urn:schemas-microsoft-com:office:smarttags" w:element="City">
          <w:r w:rsidRPr="006B3A6B">
            <w:rPr>
              <w:rFonts w:ascii="Calibri" w:hAnsi="Calibri" w:cs="Arial"/>
            </w:rPr>
            <w:t>Oxford</w:t>
          </w:r>
        </w:smartTag>
      </w:smartTag>
      <w:r w:rsidRPr="006B3A6B">
        <w:rPr>
          <w:rFonts w:ascii="Calibri" w:hAnsi="Calibri" w:cs="Arial"/>
        </w:rPr>
        <w:t>;</w:t>
      </w:r>
    </w:p>
    <w:p w:rsidR="00F03D83" w:rsidRPr="006B3A6B" w:rsidRDefault="00F03D83" w:rsidP="00A74976">
      <w:pPr>
        <w:numPr>
          <w:ilvl w:val="0"/>
          <w:numId w:val="10"/>
        </w:numPr>
        <w:tabs>
          <w:tab w:val="clear" w:pos="540"/>
          <w:tab w:val="num" w:pos="900"/>
        </w:tabs>
        <w:ind w:left="900"/>
        <w:rPr>
          <w:rFonts w:ascii="Calibri" w:hAnsi="Calibri" w:cs="Arial"/>
        </w:rPr>
      </w:pPr>
      <w:r w:rsidRPr="006B3A6B">
        <w:rPr>
          <w:rFonts w:ascii="Calibri" w:hAnsi="Calibri" w:cs="Arial"/>
        </w:rPr>
        <w:t>the land is acquired by Oxford City Council or a person nominated by Oxford City Council;</w:t>
      </w:r>
    </w:p>
    <w:p w:rsidR="00F03D83" w:rsidRPr="006B3A6B" w:rsidRDefault="00F03D83" w:rsidP="00A74976">
      <w:pPr>
        <w:numPr>
          <w:ilvl w:val="0"/>
          <w:numId w:val="10"/>
        </w:numPr>
        <w:tabs>
          <w:tab w:val="clear" w:pos="540"/>
          <w:tab w:val="num" w:pos="900"/>
        </w:tabs>
        <w:ind w:left="900"/>
        <w:rPr>
          <w:rFonts w:ascii="Calibri" w:hAnsi="Calibri" w:cs="Arial"/>
        </w:rPr>
      </w:pPr>
      <w:r w:rsidRPr="006B3A6B">
        <w:rPr>
          <w:rFonts w:ascii="Calibri" w:hAnsi="Calibri" w:cs="Arial"/>
        </w:rPr>
        <w:t>the transfer of the land must be from a person who h</w:t>
      </w:r>
      <w:r w:rsidR="000C4BED" w:rsidRPr="006B3A6B">
        <w:rPr>
          <w:rFonts w:ascii="Calibri" w:hAnsi="Calibri" w:cs="Arial"/>
        </w:rPr>
        <w:t>as assumed liability to pay CIL;</w:t>
      </w:r>
    </w:p>
    <w:p w:rsidR="00F03D83" w:rsidRPr="006B3A6B" w:rsidRDefault="00F03D83" w:rsidP="00A74976">
      <w:pPr>
        <w:numPr>
          <w:ilvl w:val="0"/>
          <w:numId w:val="10"/>
        </w:numPr>
        <w:tabs>
          <w:tab w:val="clear" w:pos="540"/>
          <w:tab w:val="num" w:pos="900"/>
        </w:tabs>
        <w:ind w:left="900"/>
        <w:rPr>
          <w:rFonts w:ascii="Calibri" w:hAnsi="Calibri"/>
        </w:rPr>
      </w:pPr>
      <w:r w:rsidRPr="006B3A6B">
        <w:rPr>
          <w:rFonts w:ascii="Calibri" w:hAnsi="Calibri"/>
        </w:rPr>
        <w:t>the land has to be valued by an independent person agreed by Oxford City Council an</w:t>
      </w:r>
      <w:r w:rsidR="000C4BED" w:rsidRPr="006B3A6B">
        <w:rPr>
          <w:rFonts w:ascii="Calibri" w:hAnsi="Calibri"/>
        </w:rPr>
        <w:t>d the person liable to pay CIL;</w:t>
      </w:r>
    </w:p>
    <w:p w:rsidR="00F03D83" w:rsidRPr="006B3A6B" w:rsidRDefault="00F03D83" w:rsidP="00A74976">
      <w:pPr>
        <w:numPr>
          <w:ilvl w:val="0"/>
          <w:numId w:val="10"/>
        </w:numPr>
        <w:tabs>
          <w:tab w:val="clear" w:pos="540"/>
          <w:tab w:val="num" w:pos="900"/>
        </w:tabs>
        <w:ind w:left="900"/>
        <w:rPr>
          <w:rFonts w:ascii="Calibri" w:hAnsi="Calibri" w:cs="Arial"/>
        </w:rPr>
      </w:pPr>
      <w:r w:rsidRPr="006B3A6B">
        <w:rPr>
          <w:rFonts w:ascii="Calibri" w:hAnsi="Calibri" w:cs="Arial"/>
        </w:rPr>
        <w:t xml:space="preserve">‘Land’ includes existing buildings and other structures, land covered with water, and any estate, interest, easement, servitude or right in or over the land. </w:t>
      </w:r>
    </w:p>
    <w:p w:rsidR="00BC5825" w:rsidRDefault="00BC5825" w:rsidP="00621B0F">
      <w:pPr>
        <w:rPr>
          <w:rFonts w:ascii="Calibri" w:hAnsi="Calibri" w:cs="Arial"/>
          <w:b/>
          <w:color w:val="0000FF"/>
        </w:rPr>
      </w:pPr>
    </w:p>
    <w:p w:rsidR="00621B0F" w:rsidRPr="00861F56" w:rsidRDefault="006B3A6B" w:rsidP="00621B0F">
      <w:pPr>
        <w:rPr>
          <w:rFonts w:ascii="Calibri" w:hAnsi="Calibri" w:cs="Arial"/>
          <w:b/>
          <w:color w:val="007373"/>
        </w:rPr>
      </w:pPr>
      <w:r w:rsidRPr="00861F56">
        <w:rPr>
          <w:rFonts w:ascii="Calibri" w:hAnsi="Calibri" w:cs="Arial"/>
          <w:b/>
          <w:color w:val="007373"/>
        </w:rPr>
        <w:t>Collection of CIL</w:t>
      </w:r>
    </w:p>
    <w:p w:rsidR="00621B0F" w:rsidRPr="00E714E1" w:rsidRDefault="00621B0F" w:rsidP="00A74976">
      <w:pPr>
        <w:numPr>
          <w:ilvl w:val="0"/>
          <w:numId w:val="4"/>
        </w:numPr>
        <w:rPr>
          <w:rFonts w:ascii="Calibri" w:hAnsi="Calibri" w:cs="Arial"/>
        </w:rPr>
      </w:pPr>
      <w:r w:rsidRPr="00E714E1">
        <w:rPr>
          <w:rFonts w:ascii="Calibri" w:hAnsi="Calibri" w:cs="Arial"/>
        </w:rPr>
        <w:t>Oxford City Council is the collecting authority for the purpose of Part 11 of the Planning Act 2008 and CIL Regulations 2010 (</w:t>
      </w:r>
      <w:r w:rsidRPr="00375291">
        <w:rPr>
          <w:rFonts w:ascii="Calibri" w:hAnsi="Calibri" w:cs="Arial"/>
        </w:rPr>
        <w:t>as amended).</w:t>
      </w:r>
    </w:p>
    <w:p w:rsidR="00621B0F" w:rsidRDefault="00621B0F" w:rsidP="00621B0F">
      <w:pPr>
        <w:rPr>
          <w:rFonts w:ascii="Calibri" w:hAnsi="Calibri" w:cs="Arial"/>
        </w:rPr>
      </w:pPr>
    </w:p>
    <w:p w:rsidR="00621B0F" w:rsidRDefault="00621B0F" w:rsidP="00A74976">
      <w:pPr>
        <w:numPr>
          <w:ilvl w:val="0"/>
          <w:numId w:val="4"/>
        </w:numPr>
        <w:rPr>
          <w:rFonts w:ascii="Calibri" w:hAnsi="Calibri" w:cs="Arial"/>
        </w:rPr>
      </w:pPr>
      <w:r>
        <w:rPr>
          <w:rFonts w:ascii="Calibri" w:hAnsi="Calibri" w:cs="Arial"/>
        </w:rPr>
        <w:lastRenderedPageBreak/>
        <w:t>When planning permission is granted, Oxford City Council will issue a liability notice setting out the amount paya</w:t>
      </w:r>
      <w:r w:rsidR="006700AB">
        <w:rPr>
          <w:rFonts w:ascii="Calibri" w:hAnsi="Calibri" w:cs="Arial"/>
        </w:rPr>
        <w:t>ble, and the payment procedure.</w:t>
      </w:r>
    </w:p>
    <w:p w:rsidR="00621B0F" w:rsidRDefault="00621B0F" w:rsidP="00621B0F">
      <w:pPr>
        <w:rPr>
          <w:rFonts w:ascii="Calibri" w:hAnsi="Calibri" w:cs="Arial"/>
        </w:rPr>
      </w:pPr>
    </w:p>
    <w:p w:rsidR="00621B0F" w:rsidRDefault="00621B0F" w:rsidP="00A74976">
      <w:pPr>
        <w:numPr>
          <w:ilvl w:val="0"/>
          <w:numId w:val="4"/>
        </w:numPr>
        <w:rPr>
          <w:rFonts w:ascii="Calibri" w:hAnsi="Calibri" w:cs="Arial"/>
        </w:rPr>
      </w:pPr>
      <w:r>
        <w:rPr>
          <w:rFonts w:ascii="Calibri" w:hAnsi="Calibri" w:cs="Arial"/>
        </w:rPr>
        <w:t xml:space="preserve">In the case of development </w:t>
      </w:r>
      <w:r w:rsidRPr="004D2CED">
        <w:rPr>
          <w:rFonts w:ascii="Calibri" w:hAnsi="Calibri" w:cs="Arial"/>
        </w:rPr>
        <w:t>enabled through permitted development orders</w:t>
      </w:r>
      <w:r>
        <w:rPr>
          <w:rFonts w:ascii="Calibri" w:hAnsi="Calibri" w:cs="Arial"/>
        </w:rPr>
        <w:t xml:space="preserve">, </w:t>
      </w:r>
      <w:r w:rsidRPr="007547D5">
        <w:rPr>
          <w:rFonts w:ascii="Calibri" w:hAnsi="Calibri" w:cs="Arial"/>
        </w:rPr>
        <w:t xml:space="preserve">the person(s) liable to pay </w:t>
      </w:r>
      <w:r>
        <w:rPr>
          <w:rFonts w:ascii="Calibri" w:hAnsi="Calibri" w:cs="Arial"/>
        </w:rPr>
        <w:t xml:space="preserve">will need </w:t>
      </w:r>
      <w:r w:rsidRPr="007547D5">
        <w:rPr>
          <w:rFonts w:ascii="Calibri" w:hAnsi="Calibri" w:cs="Arial"/>
        </w:rPr>
        <w:t xml:space="preserve">to consider whether their proposed development is chargeable, and to issue </w:t>
      </w:r>
      <w:r>
        <w:rPr>
          <w:rFonts w:ascii="Calibri" w:hAnsi="Calibri" w:cs="Arial"/>
        </w:rPr>
        <w:t>Oxford</w:t>
      </w:r>
      <w:r w:rsidRPr="007547D5">
        <w:rPr>
          <w:rFonts w:ascii="Calibri" w:hAnsi="Calibri" w:cs="Arial"/>
        </w:rPr>
        <w:t xml:space="preserve"> </w:t>
      </w:r>
      <w:r>
        <w:rPr>
          <w:rFonts w:ascii="Calibri" w:hAnsi="Calibri" w:cs="Arial"/>
        </w:rPr>
        <w:t>City Council</w:t>
      </w:r>
      <w:r w:rsidRPr="007547D5">
        <w:rPr>
          <w:rFonts w:ascii="Calibri" w:hAnsi="Calibri" w:cs="Arial"/>
        </w:rPr>
        <w:t xml:space="preserve"> a notice of chargeable development. </w:t>
      </w:r>
    </w:p>
    <w:p w:rsidR="000C4BED" w:rsidRDefault="000C4BED" w:rsidP="000C4BED">
      <w:pPr>
        <w:rPr>
          <w:rFonts w:ascii="Calibri" w:hAnsi="Calibri" w:cs="Arial"/>
        </w:rPr>
      </w:pPr>
    </w:p>
    <w:p w:rsidR="000C4BED" w:rsidRDefault="000C4BED" w:rsidP="00A74976">
      <w:pPr>
        <w:numPr>
          <w:ilvl w:val="0"/>
          <w:numId w:val="4"/>
        </w:numPr>
        <w:rPr>
          <w:rFonts w:ascii="Calibri" w:hAnsi="Calibri" w:cs="Arial"/>
        </w:rPr>
      </w:pPr>
      <w:r>
        <w:rPr>
          <w:rFonts w:ascii="Calibri" w:hAnsi="Calibri" w:cs="Arial"/>
        </w:rPr>
        <w:t>The diagram below illustrates a summarised version of the collection process.</w:t>
      </w:r>
    </w:p>
    <w:p w:rsidR="00C34D46" w:rsidRDefault="00C34D46" w:rsidP="00C34D46">
      <w:pPr>
        <w:rPr>
          <w:rFonts w:ascii="Calibri" w:hAnsi="Calibri" w:cs="Arial"/>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740"/>
      </w:tblGrid>
      <w:tr w:rsidR="000C4BED" w:rsidTr="00C724BE">
        <w:trPr>
          <w:trHeight w:val="5181"/>
        </w:trPr>
        <w:tc>
          <w:tcPr>
            <w:tcW w:w="7740" w:type="dxa"/>
          </w:tcPr>
          <w:p w:rsidR="000C4BED" w:rsidRDefault="00D55928" w:rsidP="000C4BED">
            <w:pPr>
              <w:jc w:val="center"/>
              <w:rPr>
                <w:rFonts w:ascii="Calibri" w:hAnsi="Calibri" w:cs="Arial"/>
              </w:rPr>
            </w:pPr>
            <w:r>
              <w:rPr>
                <w:rFonts w:ascii="Calibri" w:hAnsi="Calibri" w:cs="Arial"/>
                <w:noProof/>
                <w:lang w:eastAsia="en-GB"/>
              </w:rPr>
              <w:drawing>
                <wp:inline distT="0" distB="0" distL="0" distR="0" wp14:anchorId="7AFD77E5" wp14:editId="68ED856C">
                  <wp:extent cx="4750435" cy="3222625"/>
                  <wp:effectExtent l="0" t="0" r="0" b="0"/>
                  <wp:docPr id="1" name="Picture 1" descr="Collec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0435" cy="3222625"/>
                          </a:xfrm>
                          <a:prstGeom prst="rect">
                            <a:avLst/>
                          </a:prstGeom>
                          <a:noFill/>
                          <a:ln>
                            <a:noFill/>
                          </a:ln>
                        </pic:spPr>
                      </pic:pic>
                    </a:graphicData>
                  </a:graphic>
                </wp:inline>
              </w:drawing>
            </w:r>
          </w:p>
        </w:tc>
      </w:tr>
    </w:tbl>
    <w:p w:rsidR="00296F18" w:rsidRDefault="00296F18" w:rsidP="00621B0F">
      <w:pPr>
        <w:rPr>
          <w:rFonts w:ascii="Calibri" w:hAnsi="Calibri" w:cs="Arial"/>
          <w:b/>
          <w:color w:val="0000FF"/>
        </w:rPr>
      </w:pPr>
    </w:p>
    <w:p w:rsidR="00296F18" w:rsidRDefault="00296F18" w:rsidP="00621B0F">
      <w:pPr>
        <w:rPr>
          <w:rFonts w:ascii="Calibri" w:hAnsi="Calibri" w:cs="Arial"/>
          <w:b/>
          <w:color w:val="0000FF"/>
        </w:rPr>
      </w:pPr>
    </w:p>
    <w:p w:rsidR="0031759D" w:rsidRPr="00861F56" w:rsidRDefault="006B3A6B" w:rsidP="00621B0F">
      <w:pPr>
        <w:rPr>
          <w:rFonts w:ascii="Calibri" w:hAnsi="Calibri" w:cs="Arial"/>
          <w:b/>
          <w:color w:val="007373"/>
        </w:rPr>
      </w:pPr>
      <w:r w:rsidRPr="00861F56">
        <w:rPr>
          <w:rFonts w:ascii="Calibri" w:hAnsi="Calibri" w:cs="Arial"/>
          <w:b/>
          <w:color w:val="007373"/>
        </w:rPr>
        <w:t>Appeals</w:t>
      </w:r>
    </w:p>
    <w:p w:rsidR="00F03D83" w:rsidRPr="006B3A6B" w:rsidRDefault="00007154" w:rsidP="00A74976">
      <w:pPr>
        <w:numPr>
          <w:ilvl w:val="0"/>
          <w:numId w:val="4"/>
        </w:numPr>
        <w:rPr>
          <w:rFonts w:ascii="Calibri" w:hAnsi="Calibri" w:cs="Arial"/>
        </w:rPr>
      </w:pPr>
      <w:r w:rsidRPr="006B3A6B">
        <w:rPr>
          <w:rFonts w:ascii="Calibri" w:hAnsi="Calibri" w:cs="Arial"/>
        </w:rPr>
        <w:t>A liable person ca</w:t>
      </w:r>
      <w:r w:rsidR="00050676" w:rsidRPr="006B3A6B">
        <w:rPr>
          <w:rFonts w:ascii="Calibri" w:hAnsi="Calibri" w:cs="Arial"/>
        </w:rPr>
        <w:t xml:space="preserve">n request a review of the chargeable amount by the charging authority within 28 days from the issue of the liability notice. </w:t>
      </w:r>
      <w:r w:rsidR="00F03D83" w:rsidRPr="006B3A6B">
        <w:rPr>
          <w:rFonts w:ascii="Calibri" w:hAnsi="Calibri" w:cs="Arial"/>
        </w:rPr>
        <w:t>CIL Regulations allo</w:t>
      </w:r>
      <w:r w:rsidRPr="006B3A6B">
        <w:rPr>
          <w:rFonts w:ascii="Calibri" w:hAnsi="Calibri" w:cs="Arial"/>
        </w:rPr>
        <w:t>w for appeals on:</w:t>
      </w:r>
      <w:r w:rsidR="00050676" w:rsidRPr="006B3A6B">
        <w:rPr>
          <w:rFonts w:ascii="Calibri" w:hAnsi="Calibri" w:cs="Arial"/>
        </w:rPr>
        <w:t xml:space="preserve"> </w:t>
      </w:r>
    </w:p>
    <w:p w:rsidR="00F03D83" w:rsidRPr="006B3A6B" w:rsidRDefault="00F03D83" w:rsidP="00A74976">
      <w:pPr>
        <w:numPr>
          <w:ilvl w:val="0"/>
          <w:numId w:val="12"/>
        </w:numPr>
        <w:tabs>
          <w:tab w:val="clear" w:pos="540"/>
          <w:tab w:val="num" w:pos="900"/>
        </w:tabs>
        <w:ind w:left="900"/>
        <w:rPr>
          <w:rFonts w:ascii="Calibri" w:hAnsi="Calibri" w:cs="Arial"/>
        </w:rPr>
      </w:pPr>
      <w:r w:rsidRPr="006B3A6B">
        <w:rPr>
          <w:rFonts w:ascii="Calibri" w:hAnsi="Calibri" w:cs="Arial"/>
        </w:rPr>
        <w:t>the calculation of the charge</w:t>
      </w:r>
      <w:r w:rsidR="000C48AD" w:rsidRPr="006B3A6B">
        <w:rPr>
          <w:rFonts w:ascii="Calibri" w:hAnsi="Calibri" w:cs="Arial"/>
        </w:rPr>
        <w:t xml:space="preserve">able amount following a review of the calculation by the </w:t>
      </w:r>
      <w:r w:rsidR="00007154" w:rsidRPr="006B3A6B">
        <w:rPr>
          <w:rFonts w:ascii="Calibri" w:hAnsi="Calibri" w:cs="Arial"/>
        </w:rPr>
        <w:t>City Council</w:t>
      </w:r>
      <w:r w:rsidR="00754E9E" w:rsidRPr="006B3A6B">
        <w:rPr>
          <w:rFonts w:ascii="Calibri" w:hAnsi="Calibri" w:cs="Arial"/>
        </w:rPr>
        <w:t>.</w:t>
      </w:r>
    </w:p>
    <w:p w:rsidR="00F03D83" w:rsidRPr="006B3A6B" w:rsidRDefault="00007154" w:rsidP="00A74976">
      <w:pPr>
        <w:numPr>
          <w:ilvl w:val="0"/>
          <w:numId w:val="11"/>
        </w:numPr>
        <w:tabs>
          <w:tab w:val="clear" w:pos="540"/>
          <w:tab w:val="num" w:pos="900"/>
        </w:tabs>
        <w:ind w:left="900"/>
        <w:rPr>
          <w:rFonts w:ascii="Calibri" w:hAnsi="Calibri" w:cs="Arial"/>
        </w:rPr>
      </w:pPr>
      <w:r w:rsidRPr="006B3A6B">
        <w:rPr>
          <w:rFonts w:ascii="Calibri" w:hAnsi="Calibri" w:cs="Arial"/>
        </w:rPr>
        <w:t>disagreement</w:t>
      </w:r>
      <w:r w:rsidR="00F03D83" w:rsidRPr="006B3A6B">
        <w:rPr>
          <w:rFonts w:ascii="Calibri" w:hAnsi="Calibri" w:cs="Arial"/>
        </w:rPr>
        <w:t xml:space="preserve"> with </w:t>
      </w:r>
      <w:r w:rsidR="00754E9E" w:rsidRPr="006B3A6B">
        <w:rPr>
          <w:rFonts w:ascii="Calibri" w:hAnsi="Calibri" w:cs="Arial"/>
        </w:rPr>
        <w:t xml:space="preserve">the </w:t>
      </w:r>
      <w:r w:rsidRPr="006B3A6B">
        <w:rPr>
          <w:rFonts w:ascii="Calibri" w:hAnsi="Calibri" w:cs="Arial"/>
        </w:rPr>
        <w:t>City Council’s</w:t>
      </w:r>
      <w:r w:rsidR="00F03D83" w:rsidRPr="006B3A6B">
        <w:rPr>
          <w:rFonts w:ascii="Calibri" w:hAnsi="Calibri" w:cs="Arial"/>
        </w:rPr>
        <w:t xml:space="preserve"> apportio</w:t>
      </w:r>
      <w:r w:rsidR="00754E9E" w:rsidRPr="006B3A6B">
        <w:rPr>
          <w:rFonts w:ascii="Calibri" w:hAnsi="Calibri" w:cs="Arial"/>
        </w:rPr>
        <w:t>ned liability to pay the charge.</w:t>
      </w:r>
    </w:p>
    <w:p w:rsidR="00007154" w:rsidRPr="006B3A6B" w:rsidRDefault="00050676" w:rsidP="00A74976">
      <w:pPr>
        <w:numPr>
          <w:ilvl w:val="0"/>
          <w:numId w:val="11"/>
        </w:numPr>
        <w:tabs>
          <w:tab w:val="clear" w:pos="540"/>
          <w:tab w:val="num" w:pos="900"/>
        </w:tabs>
        <w:ind w:left="900"/>
        <w:rPr>
          <w:rFonts w:ascii="Calibri" w:hAnsi="Calibri" w:cs="Arial"/>
        </w:rPr>
      </w:pPr>
      <w:r w:rsidRPr="006B3A6B">
        <w:rPr>
          <w:rFonts w:ascii="Calibri" w:hAnsi="Calibri" w:cs="Arial"/>
        </w:rPr>
        <w:t xml:space="preserve">any </w:t>
      </w:r>
      <w:r w:rsidR="00F03D83" w:rsidRPr="006B3A6B">
        <w:rPr>
          <w:rFonts w:ascii="Calibri" w:hAnsi="Calibri" w:cs="Arial"/>
        </w:rPr>
        <w:t xml:space="preserve">surcharges </w:t>
      </w:r>
      <w:r w:rsidRPr="006B3A6B">
        <w:rPr>
          <w:rFonts w:ascii="Calibri" w:hAnsi="Calibri" w:cs="Arial"/>
        </w:rPr>
        <w:t>incurred</w:t>
      </w:r>
      <w:r w:rsidR="00F03D83" w:rsidRPr="006B3A6B">
        <w:rPr>
          <w:rFonts w:ascii="Calibri" w:hAnsi="Calibri" w:cs="Arial"/>
        </w:rPr>
        <w:t xml:space="preserve"> on the basis that </w:t>
      </w:r>
      <w:r w:rsidR="00007154" w:rsidRPr="006B3A6B">
        <w:rPr>
          <w:rFonts w:ascii="Calibri" w:hAnsi="Calibri" w:cs="Arial"/>
        </w:rPr>
        <w:t>they</w:t>
      </w:r>
      <w:r w:rsidR="00F03D83" w:rsidRPr="006B3A6B">
        <w:rPr>
          <w:rFonts w:ascii="Calibri" w:hAnsi="Calibri" w:cs="Arial"/>
        </w:rPr>
        <w:t xml:space="preserve"> w</w:t>
      </w:r>
      <w:r w:rsidR="00007154" w:rsidRPr="006B3A6B">
        <w:rPr>
          <w:rFonts w:ascii="Calibri" w:hAnsi="Calibri" w:cs="Arial"/>
        </w:rPr>
        <w:t>ere</w:t>
      </w:r>
      <w:r w:rsidR="00F03D83" w:rsidRPr="006B3A6B">
        <w:rPr>
          <w:rFonts w:ascii="Calibri" w:hAnsi="Calibri" w:cs="Arial"/>
        </w:rPr>
        <w:t xml:space="preserve"> calculated incorrectly, that a liability notice was not served or the breach did not occur. </w:t>
      </w:r>
    </w:p>
    <w:p w:rsidR="00F03D83" w:rsidRPr="006B3A6B" w:rsidRDefault="00F03D83" w:rsidP="00A74976">
      <w:pPr>
        <w:numPr>
          <w:ilvl w:val="0"/>
          <w:numId w:val="11"/>
        </w:numPr>
        <w:tabs>
          <w:tab w:val="clear" w:pos="540"/>
          <w:tab w:val="num" w:pos="900"/>
        </w:tabs>
        <w:ind w:left="900"/>
        <w:rPr>
          <w:rFonts w:ascii="Calibri" w:hAnsi="Calibri" w:cs="Arial"/>
        </w:rPr>
      </w:pPr>
      <w:r w:rsidRPr="006B3A6B">
        <w:rPr>
          <w:rFonts w:ascii="Calibri" w:hAnsi="Calibri" w:cs="Arial"/>
        </w:rPr>
        <w:t>a deemed commencement date if consider</w:t>
      </w:r>
      <w:r w:rsidR="00007154" w:rsidRPr="006B3A6B">
        <w:rPr>
          <w:rFonts w:ascii="Calibri" w:hAnsi="Calibri" w:cs="Arial"/>
        </w:rPr>
        <w:t>ed</w:t>
      </w:r>
      <w:r w:rsidRPr="006B3A6B">
        <w:rPr>
          <w:rFonts w:ascii="Calibri" w:hAnsi="Calibri" w:cs="Arial"/>
        </w:rPr>
        <w:t xml:space="preserve"> that the date h</w:t>
      </w:r>
      <w:r w:rsidR="00007154" w:rsidRPr="006B3A6B">
        <w:rPr>
          <w:rFonts w:ascii="Calibri" w:hAnsi="Calibri" w:cs="Arial"/>
        </w:rPr>
        <w:t>as been determined incorrectly</w:t>
      </w:r>
      <w:r w:rsidR="00754E9E" w:rsidRPr="006B3A6B">
        <w:rPr>
          <w:rFonts w:ascii="Calibri" w:hAnsi="Calibri" w:cs="Arial"/>
        </w:rPr>
        <w:t>.</w:t>
      </w:r>
    </w:p>
    <w:p w:rsidR="00D225D0" w:rsidRPr="006B3A6B" w:rsidRDefault="00007154" w:rsidP="00A74976">
      <w:pPr>
        <w:numPr>
          <w:ilvl w:val="0"/>
          <w:numId w:val="11"/>
        </w:numPr>
        <w:tabs>
          <w:tab w:val="clear" w:pos="540"/>
          <w:tab w:val="num" w:pos="900"/>
        </w:tabs>
        <w:ind w:left="900"/>
        <w:rPr>
          <w:rFonts w:ascii="Calibri" w:hAnsi="Calibri" w:cs="Arial"/>
        </w:rPr>
      </w:pPr>
      <w:r w:rsidRPr="006B3A6B">
        <w:rPr>
          <w:rFonts w:ascii="Calibri" w:hAnsi="Calibri" w:cs="Arial"/>
        </w:rPr>
        <w:t xml:space="preserve">against a stop notice </w:t>
      </w:r>
      <w:r w:rsidR="00F03D83" w:rsidRPr="006B3A6B">
        <w:rPr>
          <w:rFonts w:ascii="Calibri" w:hAnsi="Calibri" w:cs="Arial"/>
        </w:rPr>
        <w:t>if a warning notice was not issued or the de</w:t>
      </w:r>
      <w:r w:rsidRPr="006B3A6B">
        <w:rPr>
          <w:rFonts w:ascii="Calibri" w:hAnsi="Calibri" w:cs="Arial"/>
        </w:rPr>
        <w:t>velopment has not yet commenced</w:t>
      </w:r>
      <w:r w:rsidR="00754E9E" w:rsidRPr="006B3A6B">
        <w:rPr>
          <w:rFonts w:ascii="Calibri" w:hAnsi="Calibri" w:cs="Arial"/>
        </w:rPr>
        <w:t>.</w:t>
      </w:r>
    </w:p>
    <w:p w:rsidR="00D225D0" w:rsidRPr="006B3A6B" w:rsidRDefault="00D225D0" w:rsidP="00D225D0">
      <w:pPr>
        <w:rPr>
          <w:rFonts w:ascii="Calibri" w:hAnsi="Calibri" w:cs="Arial"/>
        </w:rPr>
      </w:pPr>
    </w:p>
    <w:p w:rsidR="00F03D83" w:rsidRPr="006B3A6B" w:rsidRDefault="00D225D0" w:rsidP="00A74976">
      <w:pPr>
        <w:numPr>
          <w:ilvl w:val="0"/>
          <w:numId w:val="4"/>
        </w:numPr>
        <w:rPr>
          <w:rFonts w:ascii="Calibri" w:hAnsi="Calibri" w:cs="Arial"/>
        </w:rPr>
      </w:pPr>
      <w:r w:rsidRPr="006B3A6B">
        <w:rPr>
          <w:rFonts w:ascii="Calibri" w:hAnsi="Calibri" w:cs="Arial"/>
        </w:rPr>
        <w:t>A</w:t>
      </w:r>
      <w:r w:rsidR="00754E9E" w:rsidRPr="006B3A6B">
        <w:rPr>
          <w:rFonts w:ascii="Calibri" w:hAnsi="Calibri" w:cs="Arial"/>
        </w:rPr>
        <w:t xml:space="preserve"> person aggrieved </w:t>
      </w:r>
      <w:r w:rsidR="00F03D83" w:rsidRPr="006B3A6B">
        <w:rPr>
          <w:rFonts w:ascii="Calibri" w:hAnsi="Calibri" w:cs="Arial"/>
        </w:rPr>
        <w:t>by the levy</w:t>
      </w:r>
      <w:r w:rsidR="00007154" w:rsidRPr="006B3A6B">
        <w:rPr>
          <w:rFonts w:ascii="Calibri" w:hAnsi="Calibri" w:cs="Arial"/>
        </w:rPr>
        <w:t xml:space="preserve"> (or attempt to levy)</w:t>
      </w:r>
      <w:r w:rsidR="00754E9E" w:rsidRPr="006B3A6B">
        <w:rPr>
          <w:rFonts w:ascii="Calibri" w:hAnsi="Calibri" w:cs="Arial"/>
        </w:rPr>
        <w:t xml:space="preserve"> </w:t>
      </w:r>
      <w:r w:rsidR="00D620EC">
        <w:rPr>
          <w:rFonts w:ascii="Calibri" w:hAnsi="Calibri" w:cs="Arial"/>
        </w:rPr>
        <w:t xml:space="preserve">of a distress </w:t>
      </w:r>
      <w:r w:rsidR="00754E9E" w:rsidRPr="006B3A6B">
        <w:rPr>
          <w:rFonts w:ascii="Calibri" w:hAnsi="Calibri" w:cs="Arial"/>
        </w:rPr>
        <w:t xml:space="preserve">can appeal to the </w:t>
      </w:r>
      <w:smartTag w:uri="urn:schemas-microsoft-com:office:smarttags" w:element="Street">
        <w:smartTag w:uri="urn:schemas-microsoft-com:office:smarttags" w:element="address">
          <w:r w:rsidR="00754E9E" w:rsidRPr="006B3A6B">
            <w:rPr>
              <w:rFonts w:ascii="Calibri" w:hAnsi="Calibri" w:cs="Arial"/>
            </w:rPr>
            <w:t>Magistrates Court</w:t>
          </w:r>
        </w:smartTag>
      </w:smartTag>
      <w:r w:rsidR="00007154" w:rsidRPr="006B3A6B">
        <w:rPr>
          <w:rFonts w:ascii="Calibri" w:hAnsi="Calibri" w:cs="Arial"/>
        </w:rPr>
        <w:t>.</w:t>
      </w:r>
    </w:p>
    <w:p w:rsidR="00296F18" w:rsidRDefault="00296F18" w:rsidP="0031759D">
      <w:pPr>
        <w:rPr>
          <w:rFonts w:ascii="Calibri" w:hAnsi="Calibri" w:cs="Arial"/>
        </w:rPr>
      </w:pPr>
    </w:p>
    <w:p w:rsidR="0031759D" w:rsidRPr="00861F56" w:rsidRDefault="006B3A6B" w:rsidP="0031759D">
      <w:pPr>
        <w:rPr>
          <w:rFonts w:ascii="Calibri" w:hAnsi="Calibri" w:cs="Arial"/>
          <w:b/>
          <w:color w:val="007373"/>
        </w:rPr>
      </w:pPr>
      <w:r w:rsidRPr="00861F56">
        <w:rPr>
          <w:rFonts w:ascii="Calibri" w:hAnsi="Calibri" w:cs="Arial"/>
          <w:b/>
          <w:color w:val="007373"/>
        </w:rPr>
        <w:t>Spending CIL revenue</w:t>
      </w:r>
    </w:p>
    <w:p w:rsidR="00050676" w:rsidRDefault="00621B0F" w:rsidP="00A74976">
      <w:pPr>
        <w:numPr>
          <w:ilvl w:val="0"/>
          <w:numId w:val="4"/>
        </w:numPr>
        <w:rPr>
          <w:rFonts w:ascii="Calibri" w:hAnsi="Calibri" w:cs="Arial"/>
        </w:rPr>
      </w:pPr>
      <w:r>
        <w:rPr>
          <w:rFonts w:ascii="Calibri" w:hAnsi="Calibri" w:cs="Arial"/>
        </w:rPr>
        <w:lastRenderedPageBreak/>
        <w:t xml:space="preserve">CIL revenue will be spent on the infrastructure needed to support development in Oxford. </w:t>
      </w:r>
      <w:r w:rsidRPr="00AD51EA">
        <w:rPr>
          <w:rFonts w:ascii="Calibri" w:hAnsi="Calibri" w:cs="Arial"/>
        </w:rPr>
        <w:t xml:space="preserve">Oxford City Council will publish on its website a list of infrastructure projects or types of infrastructure </w:t>
      </w:r>
      <w:r w:rsidR="00F35A8D" w:rsidRPr="00AD51EA">
        <w:rPr>
          <w:rFonts w:ascii="Calibri" w:hAnsi="Calibri" w:cs="Arial"/>
        </w:rPr>
        <w:t>that may</w:t>
      </w:r>
      <w:r w:rsidRPr="00AD51EA">
        <w:rPr>
          <w:rFonts w:ascii="Calibri" w:hAnsi="Calibri" w:cs="Arial"/>
        </w:rPr>
        <w:t xml:space="preserve"> be wholly or partially funded by CIL.</w:t>
      </w:r>
      <w:r>
        <w:rPr>
          <w:rFonts w:ascii="Calibri" w:hAnsi="Calibri" w:cs="Arial"/>
        </w:rPr>
        <w:t xml:space="preserve"> This list </w:t>
      </w:r>
      <w:r w:rsidR="006700AB">
        <w:rPr>
          <w:rFonts w:ascii="Calibri" w:hAnsi="Calibri" w:cs="Arial"/>
        </w:rPr>
        <w:t>is</w:t>
      </w:r>
      <w:r w:rsidR="004F24C3">
        <w:rPr>
          <w:rFonts w:ascii="Calibri" w:hAnsi="Calibri" w:cs="Arial"/>
        </w:rPr>
        <w:t xml:space="preserve"> </w:t>
      </w:r>
      <w:r>
        <w:rPr>
          <w:rFonts w:ascii="Calibri" w:hAnsi="Calibri" w:cs="Arial"/>
        </w:rPr>
        <w:t xml:space="preserve">known as </w:t>
      </w:r>
      <w:r w:rsidR="004F24C3">
        <w:rPr>
          <w:rFonts w:ascii="Calibri" w:hAnsi="Calibri" w:cs="Arial"/>
        </w:rPr>
        <w:t xml:space="preserve">the </w:t>
      </w:r>
      <w:r>
        <w:rPr>
          <w:rFonts w:ascii="Calibri" w:hAnsi="Calibri" w:cs="Arial"/>
        </w:rPr>
        <w:t>Regulation 123 list.</w:t>
      </w:r>
    </w:p>
    <w:p w:rsidR="00621B0F" w:rsidRDefault="00621B0F" w:rsidP="00621B0F">
      <w:pPr>
        <w:rPr>
          <w:rFonts w:ascii="Calibri" w:hAnsi="Calibri" w:cs="Arial"/>
        </w:rPr>
      </w:pPr>
    </w:p>
    <w:p w:rsidR="00621B0F" w:rsidRDefault="00621B0F" w:rsidP="00A74976">
      <w:pPr>
        <w:numPr>
          <w:ilvl w:val="0"/>
          <w:numId w:val="4"/>
        </w:numPr>
        <w:rPr>
          <w:rFonts w:ascii="Calibri" w:hAnsi="Calibri" w:cs="Arial"/>
        </w:rPr>
      </w:pPr>
      <w:r>
        <w:rPr>
          <w:rFonts w:ascii="Calibri" w:hAnsi="Calibri" w:cs="Arial"/>
        </w:rPr>
        <w:t>Oxford</w:t>
      </w:r>
      <w:r w:rsidRPr="004D2CED">
        <w:rPr>
          <w:rFonts w:ascii="Calibri" w:hAnsi="Calibri" w:cs="Arial"/>
        </w:rPr>
        <w:t xml:space="preserve"> City Council will publish annual reports showing, for each financial year:</w:t>
      </w:r>
    </w:p>
    <w:p w:rsidR="00621B0F" w:rsidRPr="004D2CED" w:rsidRDefault="00621B0F" w:rsidP="00A74976">
      <w:pPr>
        <w:numPr>
          <w:ilvl w:val="0"/>
          <w:numId w:val="5"/>
        </w:numPr>
        <w:tabs>
          <w:tab w:val="clear" w:pos="540"/>
          <w:tab w:val="num" w:pos="900"/>
        </w:tabs>
        <w:ind w:left="900"/>
        <w:rPr>
          <w:rFonts w:ascii="Calibri" w:hAnsi="Calibri" w:cs="Arial"/>
        </w:rPr>
      </w:pPr>
      <w:r w:rsidRPr="004D2CED">
        <w:rPr>
          <w:rFonts w:ascii="Calibri" w:hAnsi="Calibri" w:cs="Arial"/>
        </w:rPr>
        <w:t>How much has been collected in CIL;</w:t>
      </w:r>
    </w:p>
    <w:p w:rsidR="00621B0F" w:rsidRPr="004D2CED" w:rsidRDefault="00621B0F" w:rsidP="00A74976">
      <w:pPr>
        <w:numPr>
          <w:ilvl w:val="0"/>
          <w:numId w:val="5"/>
        </w:numPr>
        <w:tabs>
          <w:tab w:val="clear" w:pos="540"/>
          <w:tab w:val="num" w:pos="900"/>
        </w:tabs>
        <w:ind w:left="900"/>
        <w:rPr>
          <w:rFonts w:ascii="Calibri" w:hAnsi="Calibri" w:cs="Arial"/>
        </w:rPr>
      </w:pPr>
      <w:r w:rsidRPr="004D2CED">
        <w:rPr>
          <w:rFonts w:ascii="Calibri" w:hAnsi="Calibri" w:cs="Arial"/>
        </w:rPr>
        <w:t>How much has been spent;</w:t>
      </w:r>
    </w:p>
    <w:p w:rsidR="00621B0F" w:rsidRPr="004D2CED" w:rsidRDefault="00621B0F" w:rsidP="00A74976">
      <w:pPr>
        <w:numPr>
          <w:ilvl w:val="0"/>
          <w:numId w:val="5"/>
        </w:numPr>
        <w:tabs>
          <w:tab w:val="clear" w:pos="540"/>
          <w:tab w:val="num" w:pos="900"/>
        </w:tabs>
        <w:ind w:left="900"/>
        <w:rPr>
          <w:rFonts w:ascii="Calibri" w:hAnsi="Calibri" w:cs="Arial"/>
        </w:rPr>
      </w:pPr>
      <w:r w:rsidRPr="004D2CED">
        <w:rPr>
          <w:rFonts w:ascii="Calibri" w:hAnsi="Calibri" w:cs="Arial"/>
        </w:rPr>
        <w:t>The infrastructure on which it has been spent;</w:t>
      </w:r>
    </w:p>
    <w:p w:rsidR="00621B0F" w:rsidRPr="004D2CED" w:rsidRDefault="00621B0F" w:rsidP="00A74976">
      <w:pPr>
        <w:numPr>
          <w:ilvl w:val="0"/>
          <w:numId w:val="5"/>
        </w:numPr>
        <w:tabs>
          <w:tab w:val="clear" w:pos="540"/>
          <w:tab w:val="num" w:pos="900"/>
        </w:tabs>
        <w:ind w:left="900"/>
        <w:rPr>
          <w:rFonts w:ascii="Calibri" w:hAnsi="Calibri" w:cs="Arial"/>
        </w:rPr>
      </w:pPr>
      <w:r w:rsidRPr="004D2CED">
        <w:rPr>
          <w:rFonts w:ascii="Calibri" w:hAnsi="Calibri" w:cs="Arial"/>
        </w:rPr>
        <w:t>Any amount used to repay borrowed money;</w:t>
      </w:r>
    </w:p>
    <w:p w:rsidR="00621B0F" w:rsidRDefault="00621B0F" w:rsidP="00A74976">
      <w:pPr>
        <w:numPr>
          <w:ilvl w:val="0"/>
          <w:numId w:val="5"/>
        </w:numPr>
        <w:tabs>
          <w:tab w:val="clear" w:pos="540"/>
          <w:tab w:val="num" w:pos="900"/>
        </w:tabs>
        <w:ind w:left="900"/>
        <w:rPr>
          <w:rFonts w:ascii="Calibri" w:hAnsi="Calibri" w:cs="Arial"/>
        </w:rPr>
      </w:pPr>
      <w:r>
        <w:rPr>
          <w:rFonts w:ascii="Calibri" w:hAnsi="Calibri" w:cs="Arial"/>
        </w:rPr>
        <w:t>Amount of CI</w:t>
      </w:r>
      <w:r w:rsidRPr="004D2CED">
        <w:rPr>
          <w:rFonts w:ascii="Calibri" w:hAnsi="Calibri" w:cs="Arial"/>
        </w:rPr>
        <w:t>L</w:t>
      </w:r>
      <w:r>
        <w:rPr>
          <w:rFonts w:ascii="Calibri" w:hAnsi="Calibri" w:cs="Arial"/>
        </w:rPr>
        <w:t xml:space="preserve"> </w:t>
      </w:r>
      <w:r w:rsidRPr="004D2CED">
        <w:rPr>
          <w:rFonts w:ascii="Calibri" w:hAnsi="Calibri" w:cs="Arial"/>
        </w:rPr>
        <w:t>retained at the end of the reported year.</w:t>
      </w:r>
    </w:p>
    <w:p w:rsidR="00621B0F" w:rsidRDefault="00621B0F" w:rsidP="00621B0F">
      <w:pPr>
        <w:ind w:left="540"/>
        <w:rPr>
          <w:rFonts w:ascii="Calibri" w:hAnsi="Calibri" w:cs="Arial"/>
        </w:rPr>
      </w:pPr>
    </w:p>
    <w:p w:rsidR="00621B0F" w:rsidRDefault="00696BF8" w:rsidP="00A74976">
      <w:pPr>
        <w:numPr>
          <w:ilvl w:val="0"/>
          <w:numId w:val="4"/>
        </w:numPr>
        <w:rPr>
          <w:rFonts w:ascii="Calibri" w:hAnsi="Calibri" w:cs="Arial"/>
        </w:rPr>
      </w:pPr>
      <w:r>
        <w:rPr>
          <w:rFonts w:ascii="Calibri" w:hAnsi="Calibri" w:cs="Arial"/>
        </w:rPr>
        <w:t>It is the Government</w:t>
      </w:r>
      <w:r w:rsidR="00754E9E">
        <w:rPr>
          <w:rFonts w:ascii="Calibri" w:hAnsi="Calibri" w:cs="Arial"/>
        </w:rPr>
        <w:t>’s</w:t>
      </w:r>
      <w:r>
        <w:rPr>
          <w:rFonts w:ascii="Calibri" w:hAnsi="Calibri" w:cs="Arial"/>
        </w:rPr>
        <w:t xml:space="preserve"> intention to </w:t>
      </w:r>
      <w:r w:rsidR="00621B0F" w:rsidRPr="00940AD6">
        <w:rPr>
          <w:rFonts w:ascii="Calibri" w:hAnsi="Calibri" w:cs="Arial"/>
        </w:rPr>
        <w:t>allow for a proportion of CIL to be p</w:t>
      </w:r>
      <w:r w:rsidR="00621B0F">
        <w:rPr>
          <w:rFonts w:ascii="Calibri" w:hAnsi="Calibri" w:cs="Arial"/>
        </w:rPr>
        <w:t>assed to Parish Councils and Neighbourhoods</w:t>
      </w:r>
      <w:r w:rsidR="00F35A8D">
        <w:rPr>
          <w:rStyle w:val="FootnoteReference"/>
          <w:rFonts w:ascii="Calibri" w:hAnsi="Calibri" w:cs="Arial"/>
        </w:rPr>
        <w:footnoteReference w:id="7"/>
      </w:r>
      <w:r w:rsidR="004E49AF" w:rsidRPr="006F55B6">
        <w:rPr>
          <w:rFonts w:ascii="Calibri" w:hAnsi="Calibri" w:cs="Arial"/>
        </w:rPr>
        <w:t>.</w:t>
      </w:r>
      <w:r w:rsidR="00EF2C26">
        <w:rPr>
          <w:rFonts w:ascii="Calibri" w:hAnsi="Calibri" w:cs="Arial"/>
        </w:rPr>
        <w:t xml:space="preserve">  15% of CIL receipts in </w:t>
      </w:r>
      <w:proofErr w:type="spellStart"/>
      <w:r w:rsidR="00EF2C26">
        <w:rPr>
          <w:rFonts w:ascii="Calibri" w:hAnsi="Calibri" w:cs="Arial"/>
        </w:rPr>
        <w:t>parished</w:t>
      </w:r>
      <w:proofErr w:type="spellEnd"/>
      <w:r w:rsidR="00EF2C26">
        <w:rPr>
          <w:rFonts w:ascii="Calibri" w:hAnsi="Calibri" w:cs="Arial"/>
        </w:rPr>
        <w:t xml:space="preserve"> areas are to be passed to the relevant Parish Council.  In unparished areas, this 15% would be held by the City Council and spent in accordance with the wishes of the community.  The proportion would rise to 25% in areas with adopted Neighbourhood Plans.</w:t>
      </w:r>
      <w:r w:rsidR="004E49AF" w:rsidRPr="006F55B6">
        <w:rPr>
          <w:rFonts w:ascii="Calibri" w:hAnsi="Calibri" w:cs="Arial"/>
        </w:rPr>
        <w:t xml:space="preserve"> </w:t>
      </w:r>
      <w:r w:rsidR="001A3834">
        <w:rPr>
          <w:rFonts w:ascii="Calibri" w:hAnsi="Calibri" w:cs="Arial"/>
        </w:rPr>
        <w:t xml:space="preserve">  </w:t>
      </w:r>
    </w:p>
    <w:p w:rsidR="00655169" w:rsidRDefault="00655169" w:rsidP="00655169">
      <w:pPr>
        <w:rPr>
          <w:rFonts w:ascii="Calibri" w:hAnsi="Calibri" w:cs="Arial"/>
          <w:b/>
          <w:color w:val="0000FF"/>
        </w:rPr>
      </w:pPr>
    </w:p>
    <w:p w:rsidR="00655169" w:rsidRPr="00861F56" w:rsidRDefault="00655169" w:rsidP="00655169">
      <w:pPr>
        <w:rPr>
          <w:rFonts w:ascii="Calibri" w:hAnsi="Calibri" w:cs="Arial"/>
          <w:b/>
          <w:color w:val="007373"/>
        </w:rPr>
      </w:pPr>
      <w:r w:rsidRPr="00861F56">
        <w:rPr>
          <w:rFonts w:ascii="Calibri" w:hAnsi="Calibri" w:cs="Arial"/>
          <w:b/>
          <w:color w:val="007373"/>
        </w:rPr>
        <w:t>Administration fee</w:t>
      </w:r>
    </w:p>
    <w:p w:rsidR="00655169" w:rsidRDefault="00655169" w:rsidP="00A74976">
      <w:pPr>
        <w:numPr>
          <w:ilvl w:val="0"/>
          <w:numId w:val="4"/>
        </w:numPr>
        <w:rPr>
          <w:rFonts w:ascii="Calibri" w:hAnsi="Calibri" w:cs="Arial"/>
        </w:rPr>
      </w:pPr>
      <w:r>
        <w:rPr>
          <w:rFonts w:ascii="Calibri" w:hAnsi="Calibri" w:cs="Arial"/>
        </w:rPr>
        <w:t xml:space="preserve">Oxford City Council will use </w:t>
      </w:r>
      <w:r w:rsidRPr="00CE2840">
        <w:rPr>
          <w:rFonts w:ascii="Calibri" w:hAnsi="Calibri" w:cs="Arial"/>
        </w:rPr>
        <w:t>5%</w:t>
      </w:r>
      <w:r>
        <w:rPr>
          <w:rFonts w:ascii="Calibri" w:hAnsi="Calibri" w:cs="Arial"/>
        </w:rPr>
        <w:t xml:space="preserve"> of the CIL revenue to fund the administration costs of the Levy.</w:t>
      </w:r>
    </w:p>
    <w:p w:rsidR="00655169" w:rsidRDefault="00655169" w:rsidP="00655169">
      <w:pPr>
        <w:rPr>
          <w:rFonts w:ascii="Calibri" w:hAnsi="Calibri" w:cs="Arial"/>
        </w:rPr>
      </w:pPr>
    </w:p>
    <w:p w:rsidR="00655169" w:rsidRPr="00861F56" w:rsidRDefault="00655169" w:rsidP="00655169">
      <w:pPr>
        <w:rPr>
          <w:rFonts w:ascii="Calibri" w:hAnsi="Calibri" w:cs="Arial"/>
          <w:b/>
          <w:color w:val="007373"/>
        </w:rPr>
      </w:pPr>
      <w:r w:rsidRPr="00861F56">
        <w:rPr>
          <w:rFonts w:ascii="Calibri" w:hAnsi="Calibri" w:cs="Arial"/>
          <w:b/>
          <w:color w:val="007373"/>
        </w:rPr>
        <w:t>CIL and S</w:t>
      </w:r>
      <w:r w:rsidR="006B3A6B" w:rsidRPr="00861F56">
        <w:rPr>
          <w:rFonts w:ascii="Calibri" w:hAnsi="Calibri" w:cs="Arial"/>
          <w:b/>
          <w:color w:val="007373"/>
        </w:rPr>
        <w:t>ection 106 agreements</w:t>
      </w:r>
    </w:p>
    <w:p w:rsidR="00655169" w:rsidRDefault="00655169" w:rsidP="00A74976">
      <w:pPr>
        <w:numPr>
          <w:ilvl w:val="0"/>
          <w:numId w:val="4"/>
        </w:numPr>
        <w:rPr>
          <w:rFonts w:ascii="Calibri" w:hAnsi="Calibri" w:cs="Arial"/>
        </w:rPr>
      </w:pPr>
      <w:r w:rsidRPr="007E22F2">
        <w:rPr>
          <w:rFonts w:ascii="Calibri" w:hAnsi="Calibri" w:cs="Arial"/>
        </w:rPr>
        <w:t>Unlike S</w:t>
      </w:r>
      <w:r w:rsidR="00CE2840">
        <w:rPr>
          <w:rFonts w:ascii="Calibri" w:hAnsi="Calibri" w:cs="Arial"/>
        </w:rPr>
        <w:t xml:space="preserve">ection </w:t>
      </w:r>
      <w:r w:rsidRPr="007E22F2">
        <w:rPr>
          <w:rFonts w:ascii="Calibri" w:hAnsi="Calibri" w:cs="Arial"/>
        </w:rPr>
        <w:t>106</w:t>
      </w:r>
      <w:r w:rsidR="00CE2840">
        <w:rPr>
          <w:rFonts w:ascii="Calibri" w:hAnsi="Calibri" w:cs="Arial"/>
        </w:rPr>
        <w:t xml:space="preserve"> (S106)</w:t>
      </w:r>
      <w:r w:rsidRPr="007E22F2">
        <w:rPr>
          <w:rFonts w:ascii="Calibri" w:hAnsi="Calibri" w:cs="Arial"/>
        </w:rPr>
        <w:t>, the levy is to provide infrastructure to support the development of an area</w:t>
      </w:r>
      <w:r>
        <w:rPr>
          <w:rFonts w:ascii="Calibri" w:hAnsi="Calibri" w:cs="Arial"/>
        </w:rPr>
        <w:t>,</w:t>
      </w:r>
      <w:r w:rsidRPr="007E22F2">
        <w:rPr>
          <w:rFonts w:ascii="Calibri" w:hAnsi="Calibri" w:cs="Arial"/>
        </w:rPr>
        <w:t xml:space="preserve"> not to make individual planning applications acceptable in planning terms. </w:t>
      </w:r>
      <w:r>
        <w:rPr>
          <w:rFonts w:ascii="Calibri" w:hAnsi="Calibri" w:cs="Arial"/>
        </w:rPr>
        <w:t>It</w:t>
      </w:r>
      <w:r w:rsidRPr="00FF3CBD">
        <w:rPr>
          <w:rFonts w:ascii="Calibri" w:hAnsi="Calibri" w:cs="Arial"/>
        </w:rPr>
        <w:t xml:space="preserve"> break</w:t>
      </w:r>
      <w:r>
        <w:rPr>
          <w:rFonts w:ascii="Calibri" w:hAnsi="Calibri" w:cs="Arial"/>
        </w:rPr>
        <w:t>s</w:t>
      </w:r>
      <w:r w:rsidRPr="00FF3CBD">
        <w:rPr>
          <w:rFonts w:ascii="Calibri" w:hAnsi="Calibri" w:cs="Arial"/>
        </w:rPr>
        <w:t xml:space="preserve"> the link between </w:t>
      </w:r>
      <w:r>
        <w:rPr>
          <w:rFonts w:ascii="Calibri" w:hAnsi="Calibri" w:cs="Arial"/>
        </w:rPr>
        <w:t xml:space="preserve">a specific </w:t>
      </w:r>
      <w:r w:rsidRPr="00FF3CBD">
        <w:rPr>
          <w:rFonts w:ascii="Calibri" w:hAnsi="Calibri" w:cs="Arial"/>
        </w:rPr>
        <w:t xml:space="preserve">development site </w:t>
      </w:r>
      <w:r>
        <w:rPr>
          <w:rFonts w:ascii="Calibri" w:hAnsi="Calibri" w:cs="Arial"/>
        </w:rPr>
        <w:t xml:space="preserve">and the provision of infrastructure and thus provides greater flexibility for delivery of infrastructure when and where it is needed. </w:t>
      </w:r>
    </w:p>
    <w:p w:rsidR="00655169" w:rsidRDefault="00655169" w:rsidP="00655169">
      <w:pPr>
        <w:rPr>
          <w:rFonts w:ascii="Calibri" w:hAnsi="Calibri" w:cs="Arial"/>
        </w:rPr>
      </w:pPr>
    </w:p>
    <w:p w:rsidR="00655169" w:rsidRDefault="00655169" w:rsidP="00A74976">
      <w:pPr>
        <w:numPr>
          <w:ilvl w:val="0"/>
          <w:numId w:val="4"/>
        </w:numPr>
        <w:rPr>
          <w:rFonts w:ascii="Calibri" w:hAnsi="Calibri" w:cs="Arial"/>
        </w:rPr>
      </w:pPr>
      <w:r>
        <w:rPr>
          <w:rFonts w:ascii="Calibri" w:hAnsi="Calibri" w:cs="Arial"/>
        </w:rPr>
        <w:t>Section 106 agreements and Section 278 Highways Agreements will continue to be used to secure site-specific mitigation and affordable housing. In some instances, S106 agreements may be used in</w:t>
      </w:r>
      <w:r w:rsidR="004A2799">
        <w:rPr>
          <w:rFonts w:ascii="Calibri" w:hAnsi="Calibri" w:cs="Arial"/>
        </w:rPr>
        <w:t xml:space="preserve"> strategic</w:t>
      </w:r>
      <w:r>
        <w:rPr>
          <w:rFonts w:ascii="Calibri" w:hAnsi="Calibri" w:cs="Arial"/>
        </w:rPr>
        <w:t xml:space="preserve"> development sites needing the provision of their own specific infrastructure for which delivery may be more suitably dealt with through S106s.</w:t>
      </w:r>
      <w:r w:rsidR="004A2799">
        <w:rPr>
          <w:rFonts w:ascii="Calibri" w:hAnsi="Calibri" w:cs="Arial"/>
        </w:rPr>
        <w:t xml:space="preserve"> These are set out in Table 1.</w:t>
      </w:r>
    </w:p>
    <w:p w:rsidR="00655169" w:rsidRDefault="00655169" w:rsidP="00655169">
      <w:pPr>
        <w:rPr>
          <w:rFonts w:ascii="Calibri" w:hAnsi="Calibri" w:cs="Arial"/>
        </w:rPr>
      </w:pPr>
    </w:p>
    <w:p w:rsidR="00655169" w:rsidRDefault="00655169" w:rsidP="00A74976">
      <w:pPr>
        <w:numPr>
          <w:ilvl w:val="0"/>
          <w:numId w:val="4"/>
        </w:numPr>
        <w:rPr>
          <w:rFonts w:ascii="Calibri" w:hAnsi="Calibri" w:cs="Arial"/>
        </w:rPr>
      </w:pPr>
      <w:r w:rsidRPr="006A06C9">
        <w:rPr>
          <w:rFonts w:ascii="Calibri" w:hAnsi="Calibri" w:cs="Arial"/>
        </w:rPr>
        <w:t>The City Council will not be able to secure Section 106 contributions for infrastructure that they propose to fund through CIL</w:t>
      </w:r>
      <w:r w:rsidR="00F35A8D">
        <w:rPr>
          <w:rFonts w:ascii="Calibri" w:hAnsi="Calibri" w:cs="Arial"/>
        </w:rPr>
        <w:t xml:space="preserve"> (those projects</w:t>
      </w:r>
      <w:r w:rsidR="00EF2C26">
        <w:rPr>
          <w:rFonts w:ascii="Calibri" w:hAnsi="Calibri" w:cs="Arial"/>
        </w:rPr>
        <w:t xml:space="preserve"> set out</w:t>
      </w:r>
      <w:r w:rsidR="00F35A8D">
        <w:rPr>
          <w:rFonts w:ascii="Calibri" w:hAnsi="Calibri" w:cs="Arial"/>
        </w:rPr>
        <w:t xml:space="preserve"> </w:t>
      </w:r>
      <w:r w:rsidR="00EF2C26">
        <w:rPr>
          <w:rFonts w:ascii="Calibri" w:hAnsi="Calibri" w:cs="Arial"/>
        </w:rPr>
        <w:t>i</w:t>
      </w:r>
      <w:r w:rsidR="00F35A8D">
        <w:rPr>
          <w:rFonts w:ascii="Calibri" w:hAnsi="Calibri" w:cs="Arial"/>
        </w:rPr>
        <w:t>n the Regulation 123 list)</w:t>
      </w:r>
      <w:r w:rsidRPr="006A06C9">
        <w:rPr>
          <w:rFonts w:ascii="Calibri" w:hAnsi="Calibri" w:cs="Arial"/>
        </w:rPr>
        <w:t>. This is to avoid double charging and provide confidence on infrastructure funding to the community, developers, investors and infrastructure</w:t>
      </w:r>
      <w:r>
        <w:rPr>
          <w:rFonts w:ascii="Calibri" w:hAnsi="Calibri" w:cs="Arial"/>
        </w:rPr>
        <w:t xml:space="preserve"> providers.</w:t>
      </w:r>
    </w:p>
    <w:p w:rsidR="00655169" w:rsidRDefault="00655169" w:rsidP="00655169">
      <w:pPr>
        <w:rPr>
          <w:rFonts w:ascii="Calibri" w:hAnsi="Calibri" w:cs="Arial"/>
        </w:rPr>
      </w:pPr>
    </w:p>
    <w:p w:rsidR="00655169" w:rsidRPr="00D665FA" w:rsidRDefault="006700AB" w:rsidP="00A74976">
      <w:pPr>
        <w:numPr>
          <w:ilvl w:val="0"/>
          <w:numId w:val="4"/>
        </w:numPr>
        <w:rPr>
          <w:rFonts w:ascii="Calibri" w:hAnsi="Calibri" w:cs="Arial"/>
        </w:rPr>
      </w:pPr>
      <w:r>
        <w:rPr>
          <w:rFonts w:ascii="Calibri" w:hAnsi="Calibri" w:cs="Arial"/>
        </w:rPr>
        <w:t>The</w:t>
      </w:r>
      <w:r w:rsidR="00F35A8D" w:rsidRPr="00D665FA">
        <w:rPr>
          <w:rFonts w:ascii="Calibri" w:hAnsi="Calibri" w:cs="Arial"/>
        </w:rPr>
        <w:t xml:space="preserve"> Affordable Housing and Planning Obligations SPD </w:t>
      </w:r>
      <w:r>
        <w:rPr>
          <w:rFonts w:ascii="Calibri" w:hAnsi="Calibri" w:cs="Arial"/>
        </w:rPr>
        <w:t>will be reviewed upon adoption of this new Charging Schedule</w:t>
      </w:r>
      <w:r w:rsidR="00F35A8D" w:rsidRPr="00D665FA">
        <w:rPr>
          <w:rFonts w:ascii="Calibri" w:hAnsi="Calibri" w:cs="Arial"/>
        </w:rPr>
        <w:t xml:space="preserve">.  </w:t>
      </w:r>
      <w:r w:rsidR="00655169" w:rsidRPr="00D665FA">
        <w:rPr>
          <w:rFonts w:ascii="Calibri" w:hAnsi="Calibri" w:cs="Arial"/>
        </w:rPr>
        <w:t>Th</w:t>
      </w:r>
      <w:r>
        <w:rPr>
          <w:rFonts w:ascii="Calibri" w:hAnsi="Calibri" w:cs="Arial"/>
        </w:rPr>
        <w:t>e</w:t>
      </w:r>
      <w:r w:rsidR="00655169" w:rsidRPr="00D665FA">
        <w:rPr>
          <w:rFonts w:ascii="Calibri" w:hAnsi="Calibri" w:cs="Arial"/>
        </w:rPr>
        <w:t xml:space="preserve"> SPD </w:t>
      </w:r>
      <w:r>
        <w:rPr>
          <w:rFonts w:ascii="Calibri" w:hAnsi="Calibri" w:cs="Arial"/>
        </w:rPr>
        <w:t xml:space="preserve">will </w:t>
      </w:r>
      <w:r w:rsidR="00655169" w:rsidRPr="00D665FA">
        <w:rPr>
          <w:rFonts w:ascii="Calibri" w:hAnsi="Calibri" w:cs="Arial"/>
        </w:rPr>
        <w:t>make</w:t>
      </w:r>
      <w:r w:rsidR="00F35A8D" w:rsidRPr="00D665FA">
        <w:rPr>
          <w:rFonts w:ascii="Calibri" w:hAnsi="Calibri" w:cs="Arial"/>
        </w:rPr>
        <w:t xml:space="preserve">s </w:t>
      </w:r>
      <w:r w:rsidR="00EF2C26" w:rsidRPr="00D665FA">
        <w:rPr>
          <w:rFonts w:ascii="Calibri" w:hAnsi="Calibri" w:cs="Arial"/>
        </w:rPr>
        <w:t xml:space="preserve">it </w:t>
      </w:r>
      <w:r w:rsidR="00655169" w:rsidRPr="00D665FA">
        <w:rPr>
          <w:rFonts w:ascii="Calibri" w:hAnsi="Calibri" w:cs="Arial"/>
        </w:rPr>
        <w:t>clear what infrastructure is to be covered by CIL</w:t>
      </w:r>
      <w:r>
        <w:rPr>
          <w:rFonts w:ascii="Calibri" w:hAnsi="Calibri" w:cs="Arial"/>
        </w:rPr>
        <w:t xml:space="preserve"> (in line with the Regulation 123 list)</w:t>
      </w:r>
      <w:r w:rsidR="00655169" w:rsidRPr="00D665FA">
        <w:rPr>
          <w:rFonts w:ascii="Calibri" w:hAnsi="Calibri" w:cs="Arial"/>
        </w:rPr>
        <w:t xml:space="preserve"> and what will still be required through planning obligations.</w:t>
      </w:r>
    </w:p>
    <w:p w:rsidR="00420DB6" w:rsidRPr="00DB3425" w:rsidRDefault="00634710" w:rsidP="00A26B1D">
      <w:pPr>
        <w:rPr>
          <w:rFonts w:ascii="Calibri" w:hAnsi="Calibri" w:cs="Arial"/>
          <w:b/>
          <w:color w:val="0070C0"/>
        </w:rPr>
      </w:pPr>
      <w:r>
        <w:rPr>
          <w:rFonts w:ascii="Calibri" w:hAnsi="Calibri" w:cs="Arial"/>
          <w:b/>
          <w:color w:val="0000FF"/>
        </w:rPr>
        <w:br w:type="page"/>
      </w:r>
      <w:r w:rsidR="00420DB6" w:rsidRPr="00861F56">
        <w:rPr>
          <w:rFonts w:ascii="Calibri" w:hAnsi="Calibri" w:cs="Arial"/>
          <w:b/>
          <w:color w:val="007373"/>
        </w:rPr>
        <w:lastRenderedPageBreak/>
        <w:t>Annex 1</w:t>
      </w:r>
      <w:r w:rsidR="00655169" w:rsidRPr="00861F56">
        <w:rPr>
          <w:rFonts w:ascii="Calibri" w:hAnsi="Calibri" w:cs="Arial"/>
          <w:b/>
          <w:color w:val="007373"/>
        </w:rPr>
        <w:t xml:space="preserve"> </w:t>
      </w:r>
      <w:r w:rsidR="00420DB6" w:rsidRPr="00861F56">
        <w:rPr>
          <w:rFonts w:ascii="Calibri" w:hAnsi="Calibri" w:cs="Arial"/>
          <w:b/>
          <w:color w:val="007373"/>
        </w:rPr>
        <w:t xml:space="preserve">- Guide to Use class Order definitions </w:t>
      </w:r>
    </w:p>
    <w:p w:rsidR="00420DB6" w:rsidRDefault="00AE0936" w:rsidP="00A26B1D">
      <w:pPr>
        <w:rPr>
          <w:rFonts w:ascii="Calibri" w:hAnsi="Calibri"/>
          <w:color w:val="333333"/>
          <w:lang w:eastAsia="en-GB"/>
        </w:rPr>
      </w:pPr>
      <w:r w:rsidRPr="00AE0936">
        <w:rPr>
          <w:rFonts w:ascii="Calibri" w:hAnsi="Calibri"/>
          <w:color w:val="333333"/>
          <w:lang w:eastAsia="en-GB"/>
        </w:rPr>
        <w:t xml:space="preserve">The following list </w:t>
      </w:r>
      <w:r w:rsidR="00700E4D">
        <w:rPr>
          <w:rFonts w:ascii="Calibri" w:hAnsi="Calibri"/>
          <w:color w:val="333333"/>
          <w:lang w:eastAsia="en-GB"/>
        </w:rPr>
        <w:t xml:space="preserve">is based on the Government’s guide to Use Classes as shown in their planning and building regulations online resource ‘The Planning Portal’. It is not a </w:t>
      </w:r>
      <w:r w:rsidR="004F24C3">
        <w:rPr>
          <w:rFonts w:ascii="Calibri" w:hAnsi="Calibri"/>
          <w:color w:val="333333"/>
          <w:lang w:eastAsia="en-GB"/>
        </w:rPr>
        <w:t xml:space="preserve">definitive </w:t>
      </w:r>
      <w:r w:rsidR="00700E4D">
        <w:rPr>
          <w:rFonts w:ascii="Calibri" w:hAnsi="Calibri"/>
          <w:color w:val="333333"/>
          <w:lang w:eastAsia="en-GB"/>
        </w:rPr>
        <w:t xml:space="preserve">source of legal information. </w:t>
      </w:r>
    </w:p>
    <w:p w:rsidR="00A26B1D" w:rsidRPr="00700E4D" w:rsidRDefault="00A26B1D" w:rsidP="00A26B1D">
      <w:pPr>
        <w:rPr>
          <w:rFonts w:ascii="Calibri" w:hAnsi="Calibri"/>
          <w:color w:val="333333"/>
          <w:lang w:eastAsia="en-GB"/>
        </w:rPr>
      </w:pPr>
    </w:p>
    <w:tbl>
      <w:tblPr>
        <w:tblW w:w="92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AE0936" w:rsidRPr="00667A91" w:rsidTr="00C724BE">
        <w:trPr>
          <w:trHeight w:val="3564"/>
        </w:trPr>
        <w:tc>
          <w:tcPr>
            <w:tcW w:w="9288" w:type="dxa"/>
          </w:tcPr>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A1 Shops -</w:t>
            </w:r>
            <w:r w:rsidRPr="00667A91">
              <w:rPr>
                <w:rFonts w:ascii="Calibri" w:hAnsi="Calibri"/>
                <w:color w:val="333333"/>
                <w:lang w:eastAsia="en-GB"/>
              </w:rPr>
              <w:t xml:space="preserve"> Shops, retail warehouses, hairdressers, undertakers, travel and ticket agencies, post offices (but not sorting offices), pet shops, sandwich bars, showrooms, domestic hire shops, dry cleaners, funeral directors and internet cafes.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A2 Financial and professional services -</w:t>
            </w:r>
            <w:r w:rsidRPr="00667A91">
              <w:rPr>
                <w:rFonts w:ascii="Calibri" w:hAnsi="Calibri"/>
                <w:color w:val="333333"/>
                <w:lang w:eastAsia="en-GB"/>
              </w:rPr>
              <w:t xml:space="preserve"> Financial services such as banks and building societies, professional services (other than health and medical services)</w:t>
            </w:r>
            <w:r w:rsidR="005A7178">
              <w:rPr>
                <w:rFonts w:ascii="Calibri" w:hAnsi="Calibri"/>
                <w:color w:val="333333"/>
                <w:lang w:eastAsia="en-GB"/>
              </w:rPr>
              <w:t xml:space="preserve"> and</w:t>
            </w:r>
            <w:r w:rsidRPr="00667A91">
              <w:rPr>
                <w:rFonts w:ascii="Calibri" w:hAnsi="Calibri"/>
                <w:color w:val="333333"/>
                <w:lang w:eastAsia="en-GB"/>
              </w:rPr>
              <w:t xml:space="preserve"> including estate and employment agencies</w:t>
            </w:r>
            <w:r w:rsidR="005A7178">
              <w:rPr>
                <w:rFonts w:ascii="Calibri" w:hAnsi="Calibri"/>
                <w:color w:val="333333"/>
                <w:lang w:eastAsia="en-GB"/>
              </w:rPr>
              <w:t xml:space="preserve">. </w:t>
            </w:r>
            <w:r w:rsidRPr="00667A91">
              <w:rPr>
                <w:rFonts w:ascii="Calibri" w:hAnsi="Calibri"/>
                <w:color w:val="333333"/>
                <w:lang w:eastAsia="en-GB"/>
              </w:rPr>
              <w:t xml:space="preserve">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A3 Restaurants and cafés -</w:t>
            </w:r>
            <w:r w:rsidRPr="00667A91">
              <w:rPr>
                <w:rFonts w:ascii="Calibri" w:hAnsi="Calibri"/>
                <w:color w:val="333333"/>
                <w:lang w:eastAsia="en-GB"/>
              </w:rPr>
              <w:t xml:space="preserve"> For the sale of food and drink for consumption on the premises - restaurants, snack bars and cafes.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A4 Drinking establishments -</w:t>
            </w:r>
            <w:r w:rsidRPr="00667A91">
              <w:rPr>
                <w:rFonts w:ascii="Calibri" w:hAnsi="Calibri"/>
                <w:color w:val="333333"/>
                <w:lang w:eastAsia="en-GB"/>
              </w:rPr>
              <w:t xml:space="preserve"> Public houses, wine bars or other drinking establishments (but not night clubs)</w:t>
            </w:r>
            <w:r w:rsidR="005A7178">
              <w:rPr>
                <w:rFonts w:ascii="Calibri" w:hAnsi="Calibri"/>
                <w:color w:val="333333"/>
                <w:lang w:eastAsia="en-GB"/>
              </w:rPr>
              <w:t xml:space="preserve"> including drinking establishments with expanded food provision</w:t>
            </w:r>
            <w:r w:rsidRPr="00667A91">
              <w:rPr>
                <w:rFonts w:ascii="Calibri" w:hAnsi="Calibri"/>
                <w:color w:val="333333"/>
                <w:lang w:eastAsia="en-GB"/>
              </w:rPr>
              <w:t xml:space="preserve">.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A5 Hot food takeaways -</w:t>
            </w:r>
            <w:r w:rsidRPr="00667A91">
              <w:rPr>
                <w:rFonts w:ascii="Calibri" w:hAnsi="Calibri"/>
                <w:color w:val="333333"/>
                <w:lang w:eastAsia="en-GB"/>
              </w:rPr>
              <w:t xml:space="preserve"> For the sale of hot food for consumption off the premises.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B1 Business -</w:t>
            </w:r>
            <w:r w:rsidRPr="00667A91">
              <w:rPr>
                <w:rFonts w:ascii="Calibri" w:hAnsi="Calibri"/>
                <w:color w:val="333333"/>
                <w:lang w:eastAsia="en-GB"/>
              </w:rPr>
              <w:t xml:space="preserve"> Offices (other than those that fall within A2), research and development of products and processes, light industry appropriate in a residential area.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 xml:space="preserve">B2 General industrial - </w:t>
            </w:r>
            <w:r w:rsidRPr="00667A91">
              <w:rPr>
                <w:rFonts w:ascii="Calibri" w:hAnsi="Calibri"/>
                <w:color w:val="333333"/>
                <w:lang w:eastAsia="en-GB"/>
              </w:rPr>
              <w:t xml:space="preserve">Use for industrial process other than one falling within class B1 (excluding incineration purposes, chemical treatment or landfill or hazardous waste).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B8 Storage or distribution -</w:t>
            </w:r>
            <w:r w:rsidRPr="00667A91">
              <w:rPr>
                <w:rFonts w:ascii="Calibri" w:hAnsi="Calibri"/>
                <w:color w:val="333333"/>
                <w:lang w:eastAsia="en-GB"/>
              </w:rPr>
              <w:t xml:space="preserve"> This class includes open air storage.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C1 Hotels -</w:t>
            </w:r>
            <w:r w:rsidRPr="00667A91">
              <w:rPr>
                <w:rFonts w:ascii="Calibri" w:hAnsi="Calibri"/>
                <w:color w:val="333333"/>
                <w:lang w:eastAsia="en-GB"/>
              </w:rPr>
              <w:t xml:space="preserve"> Hotels, boarding and guest houses where no significant element of care is provided (excludes hostels).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C2 Residential institutions -</w:t>
            </w:r>
            <w:r w:rsidRPr="00667A91">
              <w:rPr>
                <w:rFonts w:ascii="Calibri" w:hAnsi="Calibri"/>
                <w:color w:val="333333"/>
                <w:lang w:eastAsia="en-GB"/>
              </w:rPr>
              <w:t xml:space="preserve"> Residential care homes, hospitals, nursing homes, boarding schools, residential colleges and training centres. </w:t>
            </w:r>
          </w:p>
          <w:p w:rsidR="00AE0936" w:rsidRPr="00667A91" w:rsidRDefault="00AE0936" w:rsidP="00A74976">
            <w:pPr>
              <w:numPr>
                <w:ilvl w:val="0"/>
                <w:numId w:val="6"/>
              </w:numPr>
              <w:rPr>
                <w:rFonts w:ascii="Calibri" w:hAnsi="Calibri"/>
                <w:color w:val="333333"/>
                <w:lang w:eastAsia="en-GB"/>
              </w:rPr>
            </w:pPr>
            <w:r w:rsidRPr="00667A91">
              <w:rPr>
                <w:rFonts w:ascii="Calibri" w:hAnsi="Calibri"/>
                <w:b/>
                <w:bCs/>
                <w:color w:val="333333"/>
                <w:lang w:eastAsia="en-GB"/>
              </w:rPr>
              <w:t>C2A Secure Residential Institution</w:t>
            </w:r>
            <w:r w:rsidRPr="00667A91">
              <w:rPr>
                <w:rFonts w:ascii="Calibri" w:hAnsi="Calibri"/>
                <w:color w:val="333333"/>
                <w:lang w:eastAsia="en-GB"/>
              </w:rPr>
              <w:t xml:space="preserve"> - Use for a provision of secure residential accommodation, including use as a prison, young offenders institution, detention centre, secure training centre, custody centre, short term holding centre, secure hospital, secure local authority accommodation or use as a military barracks. </w:t>
            </w:r>
          </w:p>
          <w:p w:rsidR="00AE0936" w:rsidRPr="00667A91" w:rsidRDefault="00AE0936" w:rsidP="00A74976">
            <w:pPr>
              <w:numPr>
                <w:ilvl w:val="0"/>
                <w:numId w:val="6"/>
              </w:numPr>
              <w:ind w:hanging="357"/>
              <w:rPr>
                <w:rFonts w:ascii="Calibri" w:hAnsi="Calibri"/>
                <w:color w:val="333333"/>
                <w:lang w:eastAsia="en-GB"/>
              </w:rPr>
            </w:pPr>
            <w:r w:rsidRPr="00667A91">
              <w:rPr>
                <w:rFonts w:ascii="Calibri" w:hAnsi="Calibri"/>
                <w:b/>
                <w:bCs/>
                <w:color w:val="333333"/>
                <w:lang w:eastAsia="en-GB"/>
              </w:rPr>
              <w:t xml:space="preserve">C3 </w:t>
            </w:r>
            <w:proofErr w:type="spellStart"/>
            <w:r w:rsidRPr="00667A91">
              <w:rPr>
                <w:rFonts w:ascii="Calibri" w:hAnsi="Calibri"/>
                <w:b/>
                <w:bCs/>
                <w:color w:val="333333"/>
                <w:lang w:eastAsia="en-GB"/>
              </w:rPr>
              <w:t>Dwellinghouses</w:t>
            </w:r>
            <w:proofErr w:type="spellEnd"/>
            <w:r w:rsidRPr="00667A91">
              <w:rPr>
                <w:rFonts w:ascii="Calibri" w:hAnsi="Calibri"/>
                <w:b/>
                <w:bCs/>
                <w:color w:val="333333"/>
                <w:lang w:eastAsia="en-GB"/>
              </w:rPr>
              <w:t xml:space="preserve"> -</w:t>
            </w:r>
            <w:r w:rsidRPr="00667A91">
              <w:rPr>
                <w:rFonts w:ascii="Calibri" w:hAnsi="Calibri"/>
                <w:color w:val="333333"/>
                <w:lang w:eastAsia="en-GB"/>
              </w:rPr>
              <w:t xml:space="preserve"> this class is formed of 3 parts: </w:t>
            </w:r>
          </w:p>
          <w:p w:rsidR="00AE0936" w:rsidRPr="00667A91" w:rsidRDefault="00AE0936" w:rsidP="00A74976">
            <w:pPr>
              <w:numPr>
                <w:ilvl w:val="1"/>
                <w:numId w:val="7"/>
              </w:numPr>
              <w:tabs>
                <w:tab w:val="clear" w:pos="1440"/>
                <w:tab w:val="num" w:pos="900"/>
              </w:tabs>
              <w:ind w:left="900"/>
              <w:rPr>
                <w:rFonts w:ascii="Calibri" w:hAnsi="Calibri"/>
                <w:color w:val="333333"/>
                <w:lang w:eastAsia="en-GB"/>
              </w:rPr>
            </w:pPr>
            <w:r w:rsidRPr="00667A91">
              <w:rPr>
                <w:rFonts w:ascii="Calibri" w:hAnsi="Calibri"/>
                <w:color w:val="333333"/>
                <w:lang w:eastAsia="en-GB"/>
              </w:rPr>
              <w:t xml:space="preserve">C3(a) covers use by a single person or a family (a couple whether married or not, a person related to one another with members of the family of one of the couple to be treated as members of the family of the other), an employer and certain domestic employees (such as an au pair, nanny, nurse, governess, servant, chauffeur, gardener, secretary and personal assistant), a </w:t>
            </w:r>
            <w:proofErr w:type="spellStart"/>
            <w:r w:rsidRPr="00667A91">
              <w:rPr>
                <w:rFonts w:ascii="Calibri" w:hAnsi="Calibri"/>
                <w:color w:val="333333"/>
                <w:lang w:eastAsia="en-GB"/>
              </w:rPr>
              <w:t>carer</w:t>
            </w:r>
            <w:proofErr w:type="spellEnd"/>
            <w:r w:rsidRPr="00667A91">
              <w:rPr>
                <w:rFonts w:ascii="Calibri" w:hAnsi="Calibri"/>
                <w:color w:val="333333"/>
                <w:lang w:eastAsia="en-GB"/>
              </w:rPr>
              <w:t xml:space="preserve"> and the person receiving the care and a foster parent and foster child. </w:t>
            </w:r>
          </w:p>
          <w:p w:rsidR="00AE0936" w:rsidRPr="00667A91" w:rsidRDefault="00AE0936" w:rsidP="00A74976">
            <w:pPr>
              <w:numPr>
                <w:ilvl w:val="1"/>
                <w:numId w:val="7"/>
              </w:numPr>
              <w:tabs>
                <w:tab w:val="clear" w:pos="1440"/>
                <w:tab w:val="num" w:pos="900"/>
              </w:tabs>
              <w:ind w:left="900"/>
              <w:rPr>
                <w:rFonts w:ascii="Calibri" w:hAnsi="Calibri"/>
                <w:color w:val="333333"/>
                <w:lang w:eastAsia="en-GB"/>
              </w:rPr>
            </w:pPr>
            <w:r w:rsidRPr="00667A91">
              <w:rPr>
                <w:rFonts w:ascii="Calibri" w:hAnsi="Calibri"/>
                <w:color w:val="333333"/>
                <w:lang w:eastAsia="en-GB"/>
              </w:rPr>
              <w:t xml:space="preserve">C3(b): up to six people living together as a single household and receiving care e.g. supported housing schemes such as those for people with learning disabilities or mental health problems. </w:t>
            </w:r>
          </w:p>
          <w:p w:rsidR="00AE0936" w:rsidRPr="00667A91" w:rsidRDefault="00AE0936" w:rsidP="00A74976">
            <w:pPr>
              <w:numPr>
                <w:ilvl w:val="1"/>
                <w:numId w:val="7"/>
              </w:numPr>
              <w:tabs>
                <w:tab w:val="clear" w:pos="1440"/>
                <w:tab w:val="num" w:pos="900"/>
              </w:tabs>
              <w:ind w:left="900"/>
              <w:rPr>
                <w:rFonts w:ascii="Calibri" w:hAnsi="Calibri"/>
                <w:color w:val="333333"/>
                <w:lang w:eastAsia="en-GB"/>
              </w:rPr>
            </w:pPr>
            <w:r w:rsidRPr="00667A91">
              <w:rPr>
                <w:rFonts w:ascii="Calibri" w:hAnsi="Calibri"/>
                <w:color w:val="333333"/>
                <w:lang w:eastAsia="en-GB"/>
              </w:rPr>
              <w:t>C3(c) allows for groups of people</w:t>
            </w:r>
            <w:r w:rsidR="004F24C3" w:rsidRPr="00667A91">
              <w:rPr>
                <w:rFonts w:ascii="Calibri" w:hAnsi="Calibri"/>
                <w:color w:val="333333"/>
                <w:lang w:eastAsia="en-GB"/>
              </w:rPr>
              <w:t>,</w:t>
            </w:r>
            <w:r w:rsidRPr="00667A91">
              <w:rPr>
                <w:rFonts w:ascii="Calibri" w:hAnsi="Calibri"/>
                <w:color w:val="333333"/>
                <w:lang w:eastAsia="en-GB"/>
              </w:rPr>
              <w:t xml:space="preserve"> (up to six)</w:t>
            </w:r>
            <w:r w:rsidR="004F24C3" w:rsidRPr="00667A91">
              <w:rPr>
                <w:rFonts w:ascii="Calibri" w:hAnsi="Calibri"/>
                <w:color w:val="333333"/>
                <w:lang w:eastAsia="en-GB"/>
              </w:rPr>
              <w:t>,</w:t>
            </w:r>
            <w:r w:rsidRPr="00667A91">
              <w:rPr>
                <w:rFonts w:ascii="Calibri" w:hAnsi="Calibri"/>
                <w:color w:val="333333"/>
                <w:lang w:eastAsia="en-GB"/>
              </w:rPr>
              <w:t xml:space="preserve"> living together as a single household. This allows for those groupings that do not fall within the C4 HMO definition, but which fell within the previous C3 use class, to be provided for i.e. a small religious community may fall into this section as could a homeowner who is living with a lodger. </w:t>
            </w:r>
          </w:p>
          <w:p w:rsidR="00AE0936" w:rsidRPr="00667A91" w:rsidRDefault="00AE0936" w:rsidP="00A74976">
            <w:pPr>
              <w:numPr>
                <w:ilvl w:val="0"/>
                <w:numId w:val="6"/>
              </w:numPr>
              <w:rPr>
                <w:rFonts w:ascii="Calibri" w:hAnsi="Calibri"/>
                <w:color w:val="333333"/>
                <w:lang w:eastAsia="en-GB"/>
              </w:rPr>
            </w:pPr>
            <w:r w:rsidRPr="00667A91">
              <w:rPr>
                <w:rFonts w:ascii="Calibri" w:hAnsi="Calibri"/>
                <w:b/>
                <w:bCs/>
                <w:color w:val="333333"/>
                <w:lang w:eastAsia="en-GB"/>
              </w:rPr>
              <w:t>C4 Houses in multiple occupation</w:t>
            </w:r>
            <w:r w:rsidR="005A7178">
              <w:rPr>
                <w:rFonts w:ascii="Calibri" w:hAnsi="Calibri"/>
                <w:color w:val="333333"/>
                <w:lang w:eastAsia="en-GB"/>
              </w:rPr>
              <w:t xml:space="preserve"> - small shared</w:t>
            </w:r>
            <w:r w:rsidRPr="00667A91">
              <w:rPr>
                <w:rFonts w:ascii="Calibri" w:hAnsi="Calibri"/>
                <w:color w:val="333333"/>
                <w:lang w:eastAsia="en-GB"/>
              </w:rPr>
              <w:t xml:space="preserve"> houses occupied by between three and six unrelated individuals, as their only or main residence, who share basic </w:t>
            </w:r>
            <w:r w:rsidRPr="00667A91">
              <w:rPr>
                <w:rFonts w:ascii="Calibri" w:hAnsi="Calibri"/>
                <w:color w:val="333333"/>
                <w:lang w:eastAsia="en-GB"/>
              </w:rPr>
              <w:lastRenderedPageBreak/>
              <w:t xml:space="preserve">amenities such as a kitchen or bathroom. </w:t>
            </w:r>
          </w:p>
          <w:p w:rsidR="00AE0936" w:rsidRPr="00667A91" w:rsidRDefault="00AE0936" w:rsidP="00A74976">
            <w:pPr>
              <w:numPr>
                <w:ilvl w:val="0"/>
                <w:numId w:val="6"/>
              </w:numPr>
              <w:rPr>
                <w:rFonts w:ascii="Calibri" w:hAnsi="Calibri"/>
                <w:color w:val="333333"/>
                <w:lang w:eastAsia="en-GB"/>
              </w:rPr>
            </w:pPr>
            <w:r w:rsidRPr="00667A91">
              <w:rPr>
                <w:rFonts w:ascii="Calibri" w:hAnsi="Calibri"/>
                <w:b/>
                <w:bCs/>
                <w:color w:val="333333"/>
                <w:lang w:eastAsia="en-GB"/>
              </w:rPr>
              <w:t>D1 Non-residential institutions -</w:t>
            </w:r>
            <w:r w:rsidRPr="00667A91">
              <w:rPr>
                <w:rFonts w:ascii="Calibri" w:hAnsi="Calibri"/>
                <w:color w:val="333333"/>
                <w:lang w:eastAsia="en-GB"/>
              </w:rPr>
              <w:t xml:space="preserve"> Clinics, health centres, crèches, day nurseries, day centres, schools, art galleries (other than for sale or hire), museums, libraries, halls, places of worship, church halls, law court. </w:t>
            </w:r>
            <w:proofErr w:type="spellStart"/>
            <w:r w:rsidRPr="00667A91">
              <w:rPr>
                <w:rFonts w:ascii="Calibri" w:hAnsi="Calibri"/>
                <w:color w:val="333333"/>
                <w:lang w:eastAsia="en-GB"/>
              </w:rPr>
              <w:t>Non residential</w:t>
            </w:r>
            <w:proofErr w:type="spellEnd"/>
            <w:r w:rsidRPr="00667A91">
              <w:rPr>
                <w:rFonts w:ascii="Calibri" w:hAnsi="Calibri"/>
                <w:color w:val="333333"/>
                <w:lang w:eastAsia="en-GB"/>
              </w:rPr>
              <w:t xml:space="preserve"> education and training centres. </w:t>
            </w:r>
          </w:p>
          <w:p w:rsidR="00AE0936" w:rsidRPr="00667A91" w:rsidRDefault="00AE0936" w:rsidP="00A74976">
            <w:pPr>
              <w:numPr>
                <w:ilvl w:val="0"/>
                <w:numId w:val="6"/>
              </w:numPr>
              <w:spacing w:before="100" w:beforeAutospacing="1" w:after="100" w:afterAutospacing="1"/>
              <w:rPr>
                <w:rFonts w:ascii="Calibri" w:hAnsi="Calibri"/>
                <w:color w:val="333333"/>
                <w:lang w:eastAsia="en-GB"/>
              </w:rPr>
            </w:pPr>
            <w:r w:rsidRPr="00667A91">
              <w:rPr>
                <w:rFonts w:ascii="Calibri" w:hAnsi="Calibri"/>
                <w:b/>
                <w:bCs/>
                <w:color w:val="333333"/>
                <w:lang w:eastAsia="en-GB"/>
              </w:rPr>
              <w:t>D2 Assembly and leisure -</w:t>
            </w:r>
            <w:r w:rsidRPr="00667A91">
              <w:rPr>
                <w:rFonts w:ascii="Calibri" w:hAnsi="Calibri"/>
                <w:color w:val="333333"/>
                <w:lang w:eastAsia="en-GB"/>
              </w:rPr>
              <w:t xml:space="preserve"> Cinemas, music and concert halls, bingo and dance halls (but not night clubs), swimming baths, skating rinks, gymnasiums or area for indoor or outdoor sports and recreations (except for motor sports, or where firearms are used). </w:t>
            </w:r>
          </w:p>
          <w:p w:rsidR="00AE0936" w:rsidRPr="00667A91" w:rsidRDefault="00AE0936" w:rsidP="00A74976">
            <w:pPr>
              <w:numPr>
                <w:ilvl w:val="0"/>
                <w:numId w:val="6"/>
              </w:numPr>
              <w:ind w:left="538" w:hanging="357"/>
              <w:rPr>
                <w:rFonts w:ascii="Verdana" w:hAnsi="Verdana"/>
                <w:color w:val="333333"/>
                <w:sz w:val="18"/>
                <w:szCs w:val="18"/>
                <w:lang w:eastAsia="en-GB"/>
              </w:rPr>
            </w:pPr>
            <w:r w:rsidRPr="00667A91">
              <w:rPr>
                <w:rFonts w:ascii="Calibri" w:hAnsi="Calibri"/>
                <w:b/>
                <w:bCs/>
                <w:color w:val="333333"/>
                <w:lang w:eastAsia="en-GB"/>
              </w:rPr>
              <w:t>Sui Generis</w:t>
            </w:r>
            <w:r w:rsidRPr="00667A91">
              <w:rPr>
                <w:rFonts w:ascii="Calibri" w:hAnsi="Calibri"/>
                <w:color w:val="333333"/>
                <w:lang w:eastAsia="en-GB"/>
              </w:rPr>
              <w:t xml:space="preserve"> - Certain uses do not fall within any use class and are considered 'sui generis'. Such uses include:</w:t>
            </w:r>
            <w:r w:rsidR="005A7178">
              <w:rPr>
                <w:rFonts w:ascii="Calibri" w:hAnsi="Calibri"/>
                <w:color w:val="333333"/>
                <w:lang w:eastAsia="en-GB"/>
              </w:rPr>
              <w:t xml:space="preserve"> betting offices/shops, pay day loan shops,</w:t>
            </w:r>
            <w:r w:rsidRPr="00667A91">
              <w:rPr>
                <w:rFonts w:ascii="Calibri" w:hAnsi="Calibri"/>
                <w:color w:val="333333"/>
                <w:lang w:eastAsia="en-GB"/>
              </w:rPr>
              <w:t xml:space="preserve"> theatres,</w:t>
            </w:r>
            <w:r w:rsidR="005A7178">
              <w:rPr>
                <w:rFonts w:ascii="Calibri" w:hAnsi="Calibri"/>
                <w:color w:val="333333"/>
                <w:lang w:eastAsia="en-GB"/>
              </w:rPr>
              <w:t xml:space="preserve"> larger</w:t>
            </w:r>
            <w:r w:rsidRPr="00667A91">
              <w:rPr>
                <w:rFonts w:ascii="Calibri" w:hAnsi="Calibri"/>
                <w:color w:val="333333"/>
                <w:lang w:eastAsia="en-GB"/>
              </w:rPr>
              <w:t xml:space="preserve"> houses in multiple occupation, hostels providing no significant element of care, scrap yards. Petrol filling stations and shops selling and/or displaying motor vehicles. Retail warehouse clubs, nightclubs, launderettes, taxi businesses, amusement centres and casinos. </w:t>
            </w:r>
          </w:p>
        </w:tc>
      </w:tr>
    </w:tbl>
    <w:p w:rsidR="00AE0936" w:rsidRPr="007433D5" w:rsidRDefault="007433D5" w:rsidP="00420DB6">
      <w:pPr>
        <w:rPr>
          <w:rFonts w:ascii="Calibri" w:hAnsi="Calibri" w:cs="Arial"/>
        </w:rPr>
        <w:sectPr w:rsidR="00AE0936" w:rsidRPr="007433D5" w:rsidSect="00FD4F93">
          <w:footerReference w:type="even" r:id="rId11"/>
          <w:footerReference w:type="default" r:id="rId12"/>
          <w:type w:val="continuous"/>
          <w:pgSz w:w="11906" w:h="16838" w:code="9"/>
          <w:pgMar w:top="1560" w:right="1416" w:bottom="1276" w:left="1418" w:header="709" w:footer="17" w:gutter="0"/>
          <w:pgNumType w:start="1"/>
          <w:cols w:space="708"/>
          <w:titlePg/>
          <w:docGrid w:linePitch="360"/>
        </w:sectPr>
      </w:pPr>
      <w:r w:rsidRPr="007433D5">
        <w:rPr>
          <w:rFonts w:ascii="Calibri" w:hAnsi="Calibri" w:cs="Arial"/>
          <w:b/>
        </w:rPr>
        <w:lastRenderedPageBreak/>
        <w:t>Source:</w:t>
      </w:r>
      <w:r w:rsidRPr="007433D5">
        <w:rPr>
          <w:rFonts w:ascii="Calibri" w:hAnsi="Calibri" w:cs="Arial"/>
        </w:rPr>
        <w:t xml:space="preserve"> Planning Portal </w:t>
      </w:r>
      <w:hyperlink r:id="rId13" w:history="1">
        <w:r w:rsidR="00B143EE" w:rsidRPr="00861F56">
          <w:rPr>
            <w:rStyle w:val="Hyperlink"/>
            <w:rFonts w:ascii="Calibri" w:hAnsi="Calibri" w:cs="Arial"/>
            <w:color w:val="007373"/>
          </w:rPr>
          <w:t>http://www.planningportal.gov.uk</w:t>
        </w:r>
      </w:hyperlink>
      <w:r w:rsidR="00B143EE" w:rsidRPr="00861F56">
        <w:rPr>
          <w:rFonts w:ascii="Calibri" w:hAnsi="Calibri" w:cs="Arial"/>
          <w:color w:val="007373"/>
        </w:rPr>
        <w:t xml:space="preserve"> </w:t>
      </w:r>
    </w:p>
    <w:p w:rsidR="00C7785F" w:rsidRPr="00861F56" w:rsidRDefault="00655169" w:rsidP="00C7785F">
      <w:pPr>
        <w:rPr>
          <w:rFonts w:ascii="Calibri" w:hAnsi="Calibri" w:cs="Arial"/>
          <w:color w:val="007373"/>
        </w:rPr>
      </w:pPr>
      <w:r w:rsidRPr="00861F56">
        <w:rPr>
          <w:rFonts w:ascii="Calibri" w:hAnsi="Calibri" w:cs="Arial"/>
          <w:b/>
          <w:color w:val="007373"/>
        </w:rPr>
        <w:lastRenderedPageBreak/>
        <w:t xml:space="preserve">Annex 2 </w:t>
      </w:r>
      <w:r w:rsidR="00C7785F" w:rsidRPr="00861F56">
        <w:rPr>
          <w:rFonts w:ascii="Calibri" w:hAnsi="Calibri" w:cs="Arial"/>
          <w:b/>
          <w:color w:val="007373"/>
        </w:rPr>
        <w:t xml:space="preserve">– Regulation 40 of the Community Infrastructure Levy (Amendment) Regulations 2014 </w:t>
      </w:r>
    </w:p>
    <w:p w:rsidR="00C7785F" w:rsidRDefault="00C7785F" w:rsidP="00C7785F">
      <w:pPr>
        <w:autoSpaceDE w:val="0"/>
        <w:autoSpaceDN w:val="0"/>
        <w:adjustRightInd w:val="0"/>
        <w:rPr>
          <w:rFonts w:ascii="Calibri" w:hAnsi="Calibri" w:cs="TimesNewRoman"/>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C7785F" w:rsidRPr="001B2DA0" w:rsidTr="00C724BE">
        <w:tc>
          <w:tcPr>
            <w:tcW w:w="9288" w:type="dxa"/>
            <w:shd w:val="clear" w:color="auto" w:fill="auto"/>
          </w:tcPr>
          <w:p w:rsidR="00C7785F" w:rsidRPr="001B2DA0" w:rsidRDefault="00C7785F" w:rsidP="00555192">
            <w:pPr>
              <w:autoSpaceDE w:val="0"/>
              <w:autoSpaceDN w:val="0"/>
              <w:adjustRightInd w:val="0"/>
              <w:jc w:val="center"/>
              <w:rPr>
                <w:rFonts w:ascii="Calibri" w:hAnsi="Calibri" w:cs="TimesNewRoman"/>
                <w:b/>
              </w:rPr>
            </w:pPr>
            <w:r w:rsidRPr="001B2DA0">
              <w:rPr>
                <w:rFonts w:ascii="Calibri" w:hAnsi="Calibri" w:cs="TimesNewRoman"/>
                <w:b/>
              </w:rPr>
              <w:t xml:space="preserve"> PART 5</w:t>
            </w:r>
          </w:p>
          <w:p w:rsidR="00C7785F" w:rsidRPr="001B2DA0" w:rsidRDefault="00C7785F" w:rsidP="00555192">
            <w:pPr>
              <w:autoSpaceDE w:val="0"/>
              <w:autoSpaceDN w:val="0"/>
              <w:adjustRightInd w:val="0"/>
              <w:jc w:val="center"/>
              <w:rPr>
                <w:rFonts w:ascii="Calibri" w:hAnsi="Calibri" w:cs="TimesNewRoman"/>
                <w:b/>
              </w:rPr>
            </w:pPr>
            <w:r w:rsidRPr="001B2DA0">
              <w:rPr>
                <w:rFonts w:ascii="Calibri" w:hAnsi="Calibri" w:cs="TimesNewRoman"/>
                <w:b/>
              </w:rPr>
              <w:t>CHARGEABLE AMOUNT</w:t>
            </w:r>
          </w:p>
          <w:p w:rsidR="00C7785F" w:rsidRPr="001B2DA0" w:rsidRDefault="00C7785F" w:rsidP="00555192">
            <w:pPr>
              <w:autoSpaceDE w:val="0"/>
              <w:autoSpaceDN w:val="0"/>
              <w:adjustRightInd w:val="0"/>
              <w:rPr>
                <w:rFonts w:ascii="Calibri" w:hAnsi="Calibri" w:cs="TimesNewRoman,Bold"/>
                <w:b/>
                <w:bCs/>
              </w:rPr>
            </w:pPr>
          </w:p>
          <w:p w:rsidR="00C7785F" w:rsidRPr="001B2DA0" w:rsidRDefault="00C7785F" w:rsidP="00555192">
            <w:pPr>
              <w:autoSpaceDE w:val="0"/>
              <w:autoSpaceDN w:val="0"/>
              <w:adjustRightInd w:val="0"/>
              <w:rPr>
                <w:rFonts w:ascii="Calibri" w:hAnsi="Calibri" w:cs="TimesNewRoman,Bold"/>
                <w:b/>
                <w:bCs/>
              </w:rPr>
            </w:pPr>
            <w:r w:rsidRPr="001B2DA0">
              <w:rPr>
                <w:rFonts w:ascii="Calibri" w:hAnsi="Calibri" w:cs="TimesNewRoman,Bold"/>
                <w:b/>
                <w:bCs/>
              </w:rPr>
              <w:t>Calculation of chargeable amount</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Bold"/>
                <w:b/>
                <w:bCs/>
              </w:rPr>
              <w:t>40.</w:t>
            </w:r>
            <w:r w:rsidRPr="001B2DA0">
              <w:rPr>
                <w:rFonts w:ascii="Calibri" w:hAnsi="Calibri" w:cs="TimesNewRoman"/>
              </w:rPr>
              <w:t>—(1) The collecting authority must calculate the amount of CIL payable (“chargeable</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amount”) in respect of a chargeable development in accordance with this regulation.</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(2) The chargeable amount is an amount equal to the aggregate of the amounts of CIL</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chargeable at each of the relevant rates.</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(3) But where that amount is less than £50 the chargeable amount is deemed to be zero.</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(4) The relevant rates are the rates</w:t>
            </w:r>
            <w:r>
              <w:rPr>
                <w:rFonts w:ascii="Calibri" w:hAnsi="Calibri" w:cs="TimesNewRoman"/>
              </w:rPr>
              <w:t>, taken from the relevant charging schedules,</w:t>
            </w:r>
            <w:r w:rsidRPr="001B2DA0">
              <w:rPr>
                <w:rFonts w:ascii="Calibri" w:hAnsi="Calibri" w:cs="TimesNewRoman"/>
              </w:rPr>
              <w:t xml:space="preserve"> at which CIL is chargeable in respect of the chargeable</w:t>
            </w:r>
            <w:r>
              <w:rPr>
                <w:rFonts w:ascii="Calibri" w:hAnsi="Calibri" w:cs="TimesNewRoman"/>
              </w:rPr>
              <w:t xml:space="preserve"> development. </w:t>
            </w:r>
            <w:r w:rsidRPr="001B2DA0" w:rsidDel="00115D57">
              <w:rPr>
                <w:rFonts w:ascii="Calibri" w:hAnsi="Calibri" w:cs="TimesNewRoman"/>
              </w:rPr>
              <w:t xml:space="preserve"> </w:t>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(5) The amount of CIL chargeable at a given relevant rate (R) must be calculated by applying the following formula—</w:t>
            </w:r>
          </w:p>
          <w:p w:rsidR="00C7785F" w:rsidRPr="001B2DA0" w:rsidRDefault="00D55928" w:rsidP="00555192">
            <w:pPr>
              <w:autoSpaceDE w:val="0"/>
              <w:autoSpaceDN w:val="0"/>
              <w:adjustRightInd w:val="0"/>
              <w:jc w:val="center"/>
              <w:rPr>
                <w:rFonts w:ascii="Calibri" w:hAnsi="Calibri" w:cs="TimesNewRoman,Italic"/>
                <w:i/>
                <w:iCs/>
              </w:rPr>
            </w:pPr>
            <w:r>
              <w:rPr>
                <w:rFonts w:ascii="Calibri" w:hAnsi="Calibri" w:cs="Arial"/>
                <w:noProof/>
                <w:color w:val="006699"/>
                <w:lang w:eastAsia="en-GB"/>
              </w:rPr>
              <w:drawing>
                <wp:inline distT="0" distB="0" distL="0" distR="0" wp14:anchorId="54143670" wp14:editId="26793DD5">
                  <wp:extent cx="624205" cy="390525"/>
                  <wp:effectExtent l="0" t="0" r="4445" b="9525"/>
                  <wp:docPr id="2" name="Picture 2" descr="Chargeable amoun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geable amou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4205" cy="390525"/>
                          </a:xfrm>
                          <a:prstGeom prst="rect">
                            <a:avLst/>
                          </a:prstGeom>
                          <a:noFill/>
                          <a:ln>
                            <a:noFill/>
                          </a:ln>
                        </pic:spPr>
                      </pic:pic>
                    </a:graphicData>
                  </a:graphic>
                </wp:inline>
              </w:drawing>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where—</w:t>
            </w:r>
          </w:p>
          <w:p w:rsidR="00C7785F" w:rsidRPr="001B2DA0" w:rsidRDefault="00C7785F" w:rsidP="00555192">
            <w:pPr>
              <w:autoSpaceDE w:val="0"/>
              <w:autoSpaceDN w:val="0"/>
              <w:adjustRightInd w:val="0"/>
              <w:rPr>
                <w:rFonts w:ascii="Calibri" w:hAnsi="Calibri" w:cs="TimesNewRoman"/>
              </w:rPr>
            </w:pPr>
            <w:r w:rsidRPr="00DD5932">
              <w:rPr>
                <w:rFonts w:ascii="Calibri" w:hAnsi="Calibri" w:cs="TimesNewRoman"/>
                <w:i/>
              </w:rPr>
              <w:t>A</w:t>
            </w:r>
            <w:r w:rsidRPr="001B2DA0">
              <w:rPr>
                <w:rFonts w:ascii="Calibri" w:hAnsi="Calibri" w:cs="TimesNewRoman"/>
              </w:rPr>
              <w:t xml:space="preserve"> = the deemed net area chargeable at rate R</w:t>
            </w:r>
            <w:r>
              <w:rPr>
                <w:rFonts w:ascii="Calibri" w:hAnsi="Calibri" w:cs="TimesNewRoman"/>
              </w:rPr>
              <w:t>, calculated in accordance with paragraph (7)</w:t>
            </w:r>
            <w:r w:rsidRPr="001B2DA0">
              <w:rPr>
                <w:rFonts w:ascii="Calibri" w:hAnsi="Calibri" w:cs="TimesNewRoman"/>
              </w:rPr>
              <w:t>;</w:t>
            </w:r>
          </w:p>
          <w:p w:rsidR="00C7785F" w:rsidRPr="001B2DA0" w:rsidRDefault="00C7785F" w:rsidP="00555192">
            <w:pPr>
              <w:autoSpaceDE w:val="0"/>
              <w:autoSpaceDN w:val="0"/>
              <w:adjustRightInd w:val="0"/>
              <w:rPr>
                <w:rFonts w:ascii="Calibri" w:hAnsi="Calibri" w:cs="TimesNewRoman"/>
              </w:rPr>
            </w:pPr>
            <w:r w:rsidRPr="00DD5932">
              <w:rPr>
                <w:rFonts w:ascii="Calibri" w:hAnsi="Calibri" w:cs="TimesNewRoman"/>
                <w:i/>
              </w:rPr>
              <w:t>I</w:t>
            </w:r>
            <w:r w:rsidRPr="00256D87">
              <w:rPr>
                <w:rFonts w:ascii="Calibri" w:hAnsi="Calibri" w:cs="TimesNewRoman"/>
                <w:i/>
                <w:vertAlign w:val="subscript"/>
              </w:rPr>
              <w:t>P</w:t>
            </w:r>
            <w:r w:rsidRPr="001B2DA0">
              <w:rPr>
                <w:rFonts w:ascii="Calibri" w:hAnsi="Calibri" w:cs="TimesNewRoman"/>
              </w:rPr>
              <w:t xml:space="preserve"> = the index figure for the year in which planning permission was granted; and</w:t>
            </w:r>
          </w:p>
          <w:p w:rsidR="00C7785F" w:rsidRPr="001B2DA0" w:rsidRDefault="00C7785F" w:rsidP="00555192">
            <w:pPr>
              <w:autoSpaceDE w:val="0"/>
              <w:autoSpaceDN w:val="0"/>
              <w:adjustRightInd w:val="0"/>
              <w:rPr>
                <w:rFonts w:ascii="Calibri" w:hAnsi="Calibri" w:cs="TimesNewRoman"/>
              </w:rPr>
            </w:pPr>
            <w:r w:rsidRPr="00DD5932">
              <w:rPr>
                <w:rFonts w:ascii="Calibri" w:hAnsi="Calibri" w:cs="TimesNewRoman"/>
                <w:i/>
              </w:rPr>
              <w:t>I</w:t>
            </w:r>
            <w:r w:rsidRPr="00256D87">
              <w:rPr>
                <w:rFonts w:ascii="Calibri" w:hAnsi="Calibri" w:cs="TimesNewRoman"/>
                <w:i/>
                <w:vertAlign w:val="subscript"/>
              </w:rPr>
              <w:t>C</w:t>
            </w:r>
            <w:r w:rsidRPr="00256D87">
              <w:rPr>
                <w:rFonts w:ascii="Calibri" w:hAnsi="Calibri" w:cs="TimesNewRoman"/>
                <w:vertAlign w:val="subscript"/>
              </w:rPr>
              <w:t xml:space="preserve"> </w:t>
            </w:r>
            <w:r w:rsidRPr="001B2DA0">
              <w:rPr>
                <w:rFonts w:ascii="Calibri" w:hAnsi="Calibri" w:cs="TimesNewRoman"/>
              </w:rPr>
              <w:t>= the index figure for the year in which the charging schedule containing rate R took effect.</w:t>
            </w:r>
          </w:p>
          <w:p w:rsidR="00C7785F" w:rsidRPr="00A74976" w:rsidRDefault="00C7785F" w:rsidP="00555192">
            <w:pPr>
              <w:autoSpaceDE w:val="0"/>
              <w:autoSpaceDN w:val="0"/>
              <w:adjustRightInd w:val="0"/>
              <w:rPr>
                <w:rFonts w:ascii="Calibri" w:hAnsi="Calibri"/>
              </w:rPr>
            </w:pPr>
            <w:r w:rsidRPr="001B2DA0">
              <w:rPr>
                <w:rFonts w:ascii="Calibri" w:hAnsi="Calibri" w:cs="TimesNewRoman"/>
              </w:rPr>
              <w:t>(6)</w:t>
            </w:r>
            <w:r>
              <w:rPr>
                <w:rFonts w:ascii="Calibri" w:hAnsi="Calibri" w:cs="TimesNewRoman"/>
              </w:rPr>
              <w:t xml:space="preserve"> </w:t>
            </w:r>
            <w:r w:rsidRPr="00A74976">
              <w:rPr>
                <w:rFonts w:ascii="Calibri" w:hAnsi="Calibri"/>
              </w:rPr>
              <w:t>In this regulation the index figure for a given year is</w:t>
            </w:r>
            <w:r>
              <w:rPr>
                <w:rFonts w:ascii="Calibri" w:hAnsi="Calibri"/>
              </w:rPr>
              <w:t xml:space="preserve"> - </w:t>
            </w:r>
          </w:p>
          <w:p w:rsidR="00C7785F" w:rsidRPr="00A74976" w:rsidRDefault="00C7785F" w:rsidP="00555192">
            <w:pPr>
              <w:autoSpaceDE w:val="0"/>
              <w:autoSpaceDN w:val="0"/>
              <w:adjustRightInd w:val="0"/>
              <w:rPr>
                <w:rFonts w:ascii="Calibri" w:hAnsi="Calibri"/>
              </w:rPr>
            </w:pPr>
            <w:r w:rsidRPr="00A74976">
              <w:rPr>
                <w:rFonts w:ascii="Calibri" w:hAnsi="Calibri"/>
              </w:rPr>
              <w:t>(a) the figure for 1st November for the preceding year in the national All-in Tender Price Index published from time to time by the Building Cost Information Service of the Royal Institution of Chartered Surveyors(</w:t>
            </w:r>
            <w:r w:rsidRPr="00AF6004">
              <w:rPr>
                <w:rFonts w:ascii="Calibri" w:hAnsi="Calibri"/>
                <w:b/>
              </w:rPr>
              <w:t>1</w:t>
            </w:r>
            <w:r>
              <w:rPr>
                <w:rFonts w:ascii="Calibri" w:hAnsi="Calibri"/>
              </w:rPr>
              <w:t>)</w:t>
            </w:r>
            <w:r w:rsidRPr="00A74976">
              <w:rPr>
                <w:rFonts w:ascii="Calibri" w:hAnsi="Calibri"/>
              </w:rPr>
              <w:t>; or</w:t>
            </w:r>
          </w:p>
          <w:p w:rsidR="00C7785F" w:rsidRPr="00A74976" w:rsidRDefault="00C7785F" w:rsidP="00555192">
            <w:pPr>
              <w:autoSpaceDE w:val="0"/>
              <w:autoSpaceDN w:val="0"/>
              <w:adjustRightInd w:val="0"/>
              <w:rPr>
                <w:rFonts w:ascii="Calibri" w:hAnsi="Calibri"/>
              </w:rPr>
            </w:pPr>
            <w:r w:rsidRPr="00A74976">
              <w:rPr>
                <w:rFonts w:ascii="Calibri" w:hAnsi="Calibri"/>
              </w:rPr>
              <w:t>(b) if the All-in Tender Price Index ceases to be published, the figure for 1st November for the preceding year in the retail prices index.</w:t>
            </w:r>
          </w:p>
          <w:p w:rsidR="00C7785F" w:rsidRPr="00A74976" w:rsidRDefault="00C7785F" w:rsidP="00555192">
            <w:pPr>
              <w:autoSpaceDE w:val="0"/>
              <w:autoSpaceDN w:val="0"/>
              <w:adjustRightInd w:val="0"/>
              <w:rPr>
                <w:rFonts w:ascii="Calibri" w:hAnsi="Calibri" w:cs="TimesNewRoman"/>
              </w:rPr>
            </w:pPr>
            <w:r w:rsidRPr="00A74976">
              <w:rPr>
                <w:rFonts w:ascii="Calibri" w:hAnsi="Calibri"/>
              </w:rPr>
              <w:t>(7) The value of A must be calculated by applying the following</w:t>
            </w:r>
            <w:r w:rsidRPr="001B2DA0">
              <w:rPr>
                <w:rFonts w:ascii="Calibri" w:hAnsi="Calibri" w:cs="TimesNewRoman"/>
              </w:rPr>
              <w:t xml:space="preserve"> formula—</w:t>
            </w:r>
          </w:p>
          <w:p w:rsidR="00C7785F" w:rsidRPr="001B2DA0" w:rsidRDefault="00D55928" w:rsidP="00555192">
            <w:pPr>
              <w:autoSpaceDE w:val="0"/>
              <w:autoSpaceDN w:val="0"/>
              <w:adjustRightInd w:val="0"/>
              <w:jc w:val="center"/>
              <w:rPr>
                <w:rFonts w:ascii="Calibri" w:hAnsi="Calibri" w:cs="Arial"/>
              </w:rPr>
            </w:pPr>
            <w:r>
              <w:rPr>
                <w:rFonts w:ascii="Calibri" w:hAnsi="Calibri"/>
                <w:noProof/>
                <w:lang w:eastAsia="en-GB"/>
              </w:rPr>
              <w:drawing>
                <wp:inline distT="0" distB="0" distL="0" distR="0" wp14:anchorId="1445D160" wp14:editId="557DFDCE">
                  <wp:extent cx="117094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lum bright="6000" contrast="100000"/>
                            <a:extLst>
                              <a:ext uri="{28A0092B-C50C-407E-A947-70E740481C1C}">
                                <a14:useLocalDpi xmlns:a14="http://schemas.microsoft.com/office/drawing/2010/main" val="0"/>
                              </a:ext>
                            </a:extLst>
                          </a:blip>
                          <a:srcRect l="41229" t="27010" r="39241" b="57556"/>
                          <a:stretch>
                            <a:fillRect/>
                          </a:stretch>
                        </pic:blipFill>
                        <pic:spPr bwMode="auto">
                          <a:xfrm>
                            <a:off x="0" y="0"/>
                            <a:ext cx="1170940" cy="523875"/>
                          </a:xfrm>
                          <a:prstGeom prst="rect">
                            <a:avLst/>
                          </a:prstGeom>
                          <a:noFill/>
                          <a:ln>
                            <a:noFill/>
                          </a:ln>
                        </pic:spPr>
                      </pic:pic>
                    </a:graphicData>
                  </a:graphic>
                </wp:inline>
              </w:drawing>
            </w:r>
          </w:p>
          <w:p w:rsidR="00C7785F" w:rsidRPr="001B2DA0" w:rsidRDefault="00C7785F" w:rsidP="00555192">
            <w:pPr>
              <w:autoSpaceDE w:val="0"/>
              <w:autoSpaceDN w:val="0"/>
              <w:adjustRightInd w:val="0"/>
              <w:rPr>
                <w:rFonts w:ascii="Calibri" w:hAnsi="Calibri" w:cs="TimesNewRoman"/>
              </w:rPr>
            </w:pPr>
            <w:r w:rsidRPr="001B2DA0">
              <w:rPr>
                <w:rFonts w:ascii="Calibri" w:hAnsi="Calibri" w:cs="TimesNewRoman"/>
              </w:rPr>
              <w:t>where—</w:t>
            </w:r>
          </w:p>
          <w:p w:rsidR="00C7785F" w:rsidRPr="001B2DA0" w:rsidRDefault="00C7785F" w:rsidP="00555192">
            <w:pPr>
              <w:autoSpaceDE w:val="0"/>
              <w:autoSpaceDN w:val="0"/>
              <w:adjustRightInd w:val="0"/>
              <w:rPr>
                <w:rFonts w:ascii="Calibri" w:hAnsi="Calibri" w:cs="TimesNewRoman"/>
              </w:rPr>
            </w:pPr>
            <w:r w:rsidRPr="00DD5932">
              <w:rPr>
                <w:rFonts w:ascii="Calibri" w:hAnsi="Calibri" w:cs="TimesNewRoman"/>
                <w:i/>
              </w:rPr>
              <w:t xml:space="preserve">G </w:t>
            </w:r>
            <w:r w:rsidRPr="001B2DA0">
              <w:rPr>
                <w:rFonts w:ascii="Calibri" w:hAnsi="Calibri" w:cs="TimesNewRoman"/>
              </w:rPr>
              <w:t>= the gross internal area of the chargeable development;</w:t>
            </w:r>
          </w:p>
          <w:p w:rsidR="00C7785F" w:rsidRPr="001B2DA0" w:rsidRDefault="00C7785F" w:rsidP="00555192">
            <w:pPr>
              <w:autoSpaceDE w:val="0"/>
              <w:autoSpaceDN w:val="0"/>
              <w:adjustRightInd w:val="0"/>
              <w:rPr>
                <w:rFonts w:ascii="Calibri" w:hAnsi="Calibri" w:cs="TimesNewRoman"/>
              </w:rPr>
            </w:pPr>
            <w:r w:rsidRPr="00DD5932">
              <w:rPr>
                <w:rFonts w:ascii="Calibri" w:hAnsi="Calibri" w:cs="TimesNewRoman"/>
                <w:i/>
              </w:rPr>
              <w:t>G</w:t>
            </w:r>
            <w:r w:rsidRPr="00256D87">
              <w:rPr>
                <w:rFonts w:ascii="Calibri" w:hAnsi="Calibri" w:cs="TimesNewRoman"/>
                <w:i/>
                <w:vertAlign w:val="subscript"/>
              </w:rPr>
              <w:t>R</w:t>
            </w:r>
            <w:r w:rsidRPr="001B2DA0">
              <w:rPr>
                <w:rFonts w:ascii="Calibri" w:hAnsi="Calibri" w:cs="TimesNewRoman"/>
              </w:rPr>
              <w:t xml:space="preserve"> = the gross internal area of the part of the </w:t>
            </w:r>
            <w:r>
              <w:rPr>
                <w:rFonts w:ascii="Calibri" w:hAnsi="Calibri" w:cs="TimesNewRoman"/>
              </w:rPr>
              <w:t xml:space="preserve">chargeable </w:t>
            </w:r>
            <w:r w:rsidRPr="001B2DA0">
              <w:rPr>
                <w:rFonts w:ascii="Calibri" w:hAnsi="Calibri" w:cs="TimesNewRoman"/>
              </w:rPr>
              <w:t>development chargeable at rate R;</w:t>
            </w:r>
          </w:p>
          <w:p w:rsidR="00C7785F" w:rsidRPr="00A74976" w:rsidRDefault="00C7785F" w:rsidP="00555192">
            <w:pPr>
              <w:autoSpaceDE w:val="0"/>
              <w:autoSpaceDN w:val="0"/>
              <w:adjustRightInd w:val="0"/>
              <w:rPr>
                <w:rFonts w:ascii="Calibri" w:hAnsi="Calibri"/>
              </w:rPr>
            </w:pPr>
            <w:r w:rsidRPr="00A74976">
              <w:rPr>
                <w:rFonts w:ascii="Calibri" w:hAnsi="Calibri"/>
                <w:i/>
              </w:rPr>
              <w:t>K</w:t>
            </w:r>
            <w:r w:rsidRPr="00A74976">
              <w:rPr>
                <w:rFonts w:ascii="Calibri" w:hAnsi="Calibri"/>
                <w:i/>
                <w:vertAlign w:val="subscript"/>
              </w:rPr>
              <w:t>R</w:t>
            </w:r>
            <w:r w:rsidRPr="00A74976">
              <w:rPr>
                <w:rFonts w:ascii="Calibri" w:hAnsi="Calibri"/>
              </w:rPr>
              <w:t xml:space="preserve"> = the aggregate of the gross internal areas of the following—</w:t>
            </w:r>
          </w:p>
          <w:p w:rsidR="00C7785F" w:rsidRPr="00A74976" w:rsidRDefault="00C7785F" w:rsidP="00555192">
            <w:pPr>
              <w:numPr>
                <w:ilvl w:val="0"/>
                <w:numId w:val="15"/>
              </w:numPr>
              <w:autoSpaceDE w:val="0"/>
              <w:autoSpaceDN w:val="0"/>
              <w:adjustRightInd w:val="0"/>
              <w:rPr>
                <w:rFonts w:ascii="Calibri" w:hAnsi="Calibri"/>
              </w:rPr>
            </w:pPr>
            <w:r w:rsidRPr="00A74976">
              <w:rPr>
                <w:rFonts w:ascii="Calibri" w:hAnsi="Calibri"/>
              </w:rPr>
              <w:t xml:space="preserve">retained parts of in-use buildings, and </w:t>
            </w:r>
          </w:p>
          <w:p w:rsidR="00C7785F" w:rsidRPr="00A74976" w:rsidRDefault="00C7785F" w:rsidP="00555192">
            <w:pPr>
              <w:numPr>
                <w:ilvl w:val="0"/>
                <w:numId w:val="15"/>
              </w:numPr>
              <w:autoSpaceDE w:val="0"/>
              <w:autoSpaceDN w:val="0"/>
              <w:adjustRightInd w:val="0"/>
              <w:rPr>
                <w:rFonts w:ascii="Calibri" w:hAnsi="Calibri" w:cs="TimesNewRoman"/>
              </w:rPr>
            </w:pPr>
            <w:r w:rsidRPr="00A74976">
              <w:rPr>
                <w:rFonts w:ascii="Calibri" w:hAnsi="Calibri"/>
              </w:rPr>
              <w:t>for other relevant buildings, retained parts where the intended use following completion of the chargeable development is a use that is able to be carried on lawfully and permanently without further planning permission in that part on the day before planning permission first permits the chargeable development;</w:t>
            </w:r>
          </w:p>
          <w:p w:rsidR="00C7785F" w:rsidRPr="00A74976" w:rsidRDefault="00C7785F" w:rsidP="00555192">
            <w:pPr>
              <w:autoSpaceDE w:val="0"/>
              <w:autoSpaceDN w:val="0"/>
              <w:adjustRightInd w:val="0"/>
              <w:ind w:left="60"/>
              <w:rPr>
                <w:rFonts w:ascii="Calibri" w:hAnsi="Calibri"/>
              </w:rPr>
            </w:pPr>
            <w:r w:rsidRPr="00A74976">
              <w:rPr>
                <w:rFonts w:ascii="Calibri" w:hAnsi="Calibri"/>
                <w:i/>
              </w:rPr>
              <w:t>E</w:t>
            </w:r>
            <w:r w:rsidRPr="00A74976">
              <w:rPr>
                <w:rFonts w:ascii="Calibri" w:hAnsi="Calibri"/>
              </w:rPr>
              <w:t xml:space="preserve"> = the aggregate of the following—</w:t>
            </w:r>
          </w:p>
          <w:p w:rsidR="00C7785F" w:rsidRPr="00A74976" w:rsidRDefault="00C7785F" w:rsidP="00555192">
            <w:pPr>
              <w:numPr>
                <w:ilvl w:val="0"/>
                <w:numId w:val="16"/>
              </w:numPr>
              <w:autoSpaceDE w:val="0"/>
              <w:autoSpaceDN w:val="0"/>
              <w:adjustRightInd w:val="0"/>
              <w:rPr>
                <w:rFonts w:ascii="Calibri" w:hAnsi="Calibri"/>
              </w:rPr>
            </w:pPr>
            <w:r w:rsidRPr="00A74976">
              <w:rPr>
                <w:rFonts w:ascii="Calibri" w:hAnsi="Calibri"/>
              </w:rPr>
              <w:t>the gross internal areas of parts of in-use buildings that are to be demolished before completion of the chargeable development, and</w:t>
            </w:r>
          </w:p>
          <w:p w:rsidR="00C7785F" w:rsidRPr="00A74976" w:rsidRDefault="00C7785F" w:rsidP="00555192">
            <w:pPr>
              <w:numPr>
                <w:ilvl w:val="0"/>
                <w:numId w:val="16"/>
              </w:numPr>
              <w:autoSpaceDE w:val="0"/>
              <w:autoSpaceDN w:val="0"/>
              <w:adjustRightInd w:val="0"/>
              <w:rPr>
                <w:rFonts w:ascii="Calibri" w:hAnsi="Calibri"/>
              </w:rPr>
            </w:pPr>
            <w:r w:rsidRPr="00A74976">
              <w:rPr>
                <w:rFonts w:ascii="Calibri" w:hAnsi="Calibri"/>
              </w:rPr>
              <w:t>for the second and subsequent phases of a phased planning permission, the value E</w:t>
            </w:r>
            <w:r w:rsidRPr="00A74976">
              <w:rPr>
                <w:rFonts w:ascii="Calibri" w:hAnsi="Calibri"/>
                <w:vertAlign w:val="subscript"/>
              </w:rPr>
              <w:t>x</w:t>
            </w:r>
            <w:r w:rsidRPr="00A74976">
              <w:rPr>
                <w:rFonts w:ascii="Calibri" w:hAnsi="Calibri"/>
              </w:rPr>
              <w:t xml:space="preserve"> (as determined under paragraph (8)), unless E</w:t>
            </w:r>
            <w:r w:rsidRPr="00A74976">
              <w:rPr>
                <w:rFonts w:ascii="Calibri" w:hAnsi="Calibri"/>
                <w:vertAlign w:val="subscript"/>
              </w:rPr>
              <w:t>x</w:t>
            </w:r>
            <w:r w:rsidRPr="00A74976">
              <w:rPr>
                <w:rFonts w:ascii="Calibri" w:hAnsi="Calibri"/>
              </w:rPr>
              <w:t xml:space="preserve"> is negative, </w:t>
            </w:r>
          </w:p>
          <w:p w:rsidR="00C7785F" w:rsidRPr="00A74976" w:rsidRDefault="00C7785F" w:rsidP="00555192">
            <w:pPr>
              <w:autoSpaceDE w:val="0"/>
              <w:autoSpaceDN w:val="0"/>
              <w:adjustRightInd w:val="0"/>
              <w:ind w:left="840"/>
              <w:rPr>
                <w:rFonts w:ascii="Calibri" w:hAnsi="Calibri"/>
              </w:rPr>
            </w:pPr>
            <w:r w:rsidRPr="00A74976">
              <w:rPr>
                <w:rFonts w:ascii="Calibri" w:hAnsi="Calibri"/>
              </w:rPr>
              <w:t>provided that no part of any building may be taken into account under both of paragraphs (</w:t>
            </w:r>
            <w:proofErr w:type="spellStart"/>
            <w:r w:rsidRPr="00A74976">
              <w:rPr>
                <w:rFonts w:ascii="Calibri" w:hAnsi="Calibri"/>
              </w:rPr>
              <w:t>i</w:t>
            </w:r>
            <w:proofErr w:type="spellEnd"/>
            <w:r w:rsidRPr="00A74976">
              <w:rPr>
                <w:rFonts w:ascii="Calibri" w:hAnsi="Calibri"/>
              </w:rPr>
              <w:t>) and (ii) above.</w:t>
            </w:r>
          </w:p>
          <w:p w:rsidR="00C7785F" w:rsidRPr="00A74976" w:rsidRDefault="00C7785F" w:rsidP="00555192">
            <w:pPr>
              <w:autoSpaceDE w:val="0"/>
              <w:autoSpaceDN w:val="0"/>
              <w:adjustRightInd w:val="0"/>
              <w:ind w:left="60"/>
              <w:rPr>
                <w:rFonts w:ascii="Calibri" w:hAnsi="Calibri" w:cs="TimesNewRoman"/>
              </w:rPr>
            </w:pPr>
          </w:p>
          <w:p w:rsidR="00C7785F" w:rsidRPr="00A74976" w:rsidRDefault="00C7785F" w:rsidP="00555192">
            <w:pPr>
              <w:autoSpaceDE w:val="0"/>
              <w:autoSpaceDN w:val="0"/>
              <w:adjustRightInd w:val="0"/>
              <w:rPr>
                <w:rFonts w:ascii="Calibri" w:hAnsi="Calibri" w:cs="TimesNewRoman"/>
              </w:rPr>
            </w:pPr>
            <w:r w:rsidRPr="00A74976">
              <w:rPr>
                <w:rFonts w:ascii="Calibri" w:hAnsi="Calibri"/>
              </w:rPr>
              <w:t xml:space="preserve">(8) The value </w:t>
            </w:r>
            <w:r w:rsidRPr="00A74976">
              <w:rPr>
                <w:rFonts w:ascii="Calibri" w:hAnsi="Calibri"/>
                <w:i/>
              </w:rPr>
              <w:t>E</w:t>
            </w:r>
            <w:r w:rsidRPr="00A74976">
              <w:rPr>
                <w:rFonts w:ascii="Calibri" w:hAnsi="Calibri"/>
                <w:vertAlign w:val="subscript"/>
              </w:rPr>
              <w:t xml:space="preserve">x </w:t>
            </w:r>
            <w:r w:rsidRPr="00A74976">
              <w:rPr>
                <w:rFonts w:ascii="Calibri" w:hAnsi="Calibri"/>
              </w:rPr>
              <w:t>must be calculated by applying the following formula—</w:t>
            </w:r>
          </w:p>
          <w:p w:rsidR="00C7785F" w:rsidRDefault="00C7785F" w:rsidP="00555192">
            <w:pPr>
              <w:autoSpaceDE w:val="0"/>
              <w:autoSpaceDN w:val="0"/>
              <w:adjustRightInd w:val="0"/>
              <w:ind w:left="60"/>
              <w:rPr>
                <w:i/>
              </w:rPr>
            </w:pPr>
            <w:r>
              <w:rPr>
                <w:i/>
              </w:rPr>
              <w:t xml:space="preserve">                                               </w:t>
            </w:r>
            <w:r w:rsidRPr="00241939">
              <w:rPr>
                <w:i/>
              </w:rPr>
              <w:t>E</w:t>
            </w:r>
            <w:r w:rsidRPr="00241939">
              <w:rPr>
                <w:i/>
                <w:vertAlign w:val="subscript"/>
              </w:rPr>
              <w:t>P</w:t>
            </w:r>
            <w:r w:rsidRPr="00241939">
              <w:rPr>
                <w:i/>
              </w:rPr>
              <w:t xml:space="preserve"> – (G</w:t>
            </w:r>
            <w:r w:rsidRPr="00241939">
              <w:rPr>
                <w:i/>
                <w:vertAlign w:val="subscript"/>
              </w:rPr>
              <w:t>P</w:t>
            </w:r>
            <w:r w:rsidRPr="00241939">
              <w:rPr>
                <w:i/>
              </w:rPr>
              <w:t xml:space="preserve"> – K</w:t>
            </w:r>
            <w:r w:rsidRPr="00241939">
              <w:rPr>
                <w:i/>
                <w:vertAlign w:val="subscript"/>
              </w:rPr>
              <w:t>PR</w:t>
            </w:r>
            <w:r w:rsidRPr="00241939">
              <w:rPr>
                <w:i/>
              </w:rPr>
              <w:t>)</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where— </w:t>
            </w:r>
          </w:p>
          <w:p w:rsidR="00C7785F" w:rsidRPr="00A74976" w:rsidRDefault="00C7785F" w:rsidP="00555192">
            <w:pPr>
              <w:autoSpaceDE w:val="0"/>
              <w:autoSpaceDN w:val="0"/>
              <w:adjustRightInd w:val="0"/>
              <w:ind w:left="60"/>
              <w:rPr>
                <w:rFonts w:ascii="Calibri" w:hAnsi="Calibri"/>
              </w:rPr>
            </w:pPr>
            <w:r w:rsidRPr="00A74976">
              <w:rPr>
                <w:rFonts w:ascii="Calibri" w:hAnsi="Calibri"/>
                <w:i/>
              </w:rPr>
              <w:t>E</w:t>
            </w:r>
            <w:r w:rsidRPr="00A74976">
              <w:rPr>
                <w:rFonts w:ascii="Calibri" w:hAnsi="Calibri"/>
                <w:i/>
                <w:vertAlign w:val="subscript"/>
              </w:rPr>
              <w:t>P</w:t>
            </w:r>
            <w:r w:rsidRPr="00A74976">
              <w:rPr>
                <w:rFonts w:ascii="Calibri" w:hAnsi="Calibri"/>
                <w:vertAlign w:val="subscript"/>
              </w:rPr>
              <w:t xml:space="preserve"> </w:t>
            </w:r>
            <w:r w:rsidRPr="00A74976">
              <w:rPr>
                <w:rFonts w:ascii="Calibri" w:hAnsi="Calibri"/>
              </w:rPr>
              <w:t xml:space="preserve">= the value of E for the previously commenced phase of the planning permission; </w:t>
            </w:r>
          </w:p>
          <w:p w:rsidR="00C7785F" w:rsidRPr="00A74976" w:rsidRDefault="00C7785F" w:rsidP="00555192">
            <w:pPr>
              <w:autoSpaceDE w:val="0"/>
              <w:autoSpaceDN w:val="0"/>
              <w:adjustRightInd w:val="0"/>
              <w:ind w:left="60"/>
              <w:rPr>
                <w:rFonts w:ascii="Calibri" w:hAnsi="Calibri"/>
              </w:rPr>
            </w:pPr>
            <w:r w:rsidRPr="00A74976">
              <w:rPr>
                <w:rFonts w:ascii="Calibri" w:hAnsi="Calibri"/>
                <w:i/>
              </w:rPr>
              <w:t>G</w:t>
            </w:r>
            <w:r w:rsidRPr="00A74976">
              <w:rPr>
                <w:rFonts w:ascii="Calibri" w:hAnsi="Calibri"/>
                <w:i/>
                <w:vertAlign w:val="subscript"/>
              </w:rPr>
              <w:t>P</w:t>
            </w:r>
            <w:r w:rsidRPr="00A74976">
              <w:rPr>
                <w:rFonts w:ascii="Calibri" w:hAnsi="Calibri"/>
              </w:rPr>
              <w:t xml:space="preserve"> = the value of G for the previously commenced phase of the planning permission; and</w:t>
            </w:r>
          </w:p>
          <w:p w:rsidR="00C7785F" w:rsidRPr="00A74976" w:rsidRDefault="00C7785F" w:rsidP="00555192">
            <w:pPr>
              <w:autoSpaceDE w:val="0"/>
              <w:autoSpaceDN w:val="0"/>
              <w:adjustRightInd w:val="0"/>
              <w:ind w:left="60"/>
              <w:rPr>
                <w:rFonts w:ascii="Calibri" w:hAnsi="Calibri"/>
              </w:rPr>
            </w:pPr>
            <w:r w:rsidRPr="00A74976">
              <w:rPr>
                <w:rFonts w:ascii="Calibri" w:hAnsi="Calibri"/>
                <w:i/>
              </w:rPr>
              <w:t>K</w:t>
            </w:r>
            <w:r w:rsidRPr="00A74976">
              <w:rPr>
                <w:rFonts w:ascii="Calibri" w:hAnsi="Calibri"/>
                <w:i/>
                <w:vertAlign w:val="subscript"/>
              </w:rPr>
              <w:t>PR</w:t>
            </w:r>
            <w:r w:rsidRPr="00A74976">
              <w:rPr>
                <w:rFonts w:ascii="Calibri" w:hAnsi="Calibri"/>
                <w:vertAlign w:val="subscript"/>
              </w:rPr>
              <w:t xml:space="preserve"> </w:t>
            </w:r>
            <w:r w:rsidRPr="00A74976">
              <w:rPr>
                <w:rFonts w:ascii="Calibri" w:hAnsi="Calibri"/>
              </w:rPr>
              <w:t>= the total of the values of K</w:t>
            </w:r>
            <w:r w:rsidRPr="00A74976">
              <w:rPr>
                <w:rFonts w:ascii="Calibri" w:hAnsi="Calibri"/>
                <w:vertAlign w:val="subscript"/>
              </w:rPr>
              <w:t>R</w:t>
            </w:r>
            <w:r w:rsidRPr="00A74976">
              <w:rPr>
                <w:rFonts w:ascii="Calibri" w:hAnsi="Calibri"/>
              </w:rPr>
              <w:t xml:space="preserve"> for the previously commenced phase of the planning permission. </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(9) Where a collecting authority does not have sufficient information, or information of sufficient quality, to enable it to establish that a relevant building is an in-use building, it may deem it not to be an in-use building. </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(10) Where a collecting authority does not have sufficient information, or information of sufficient quality, to enable it to establish— </w:t>
            </w:r>
          </w:p>
          <w:p w:rsidR="00C7785F" w:rsidRPr="00A74976" w:rsidRDefault="00C7785F" w:rsidP="00555192">
            <w:pPr>
              <w:autoSpaceDE w:val="0"/>
              <w:autoSpaceDN w:val="0"/>
              <w:adjustRightInd w:val="0"/>
              <w:ind w:left="60"/>
              <w:rPr>
                <w:rFonts w:ascii="Calibri" w:hAnsi="Calibri"/>
              </w:rPr>
            </w:pPr>
            <w:r w:rsidRPr="00A74976">
              <w:rPr>
                <w:rFonts w:ascii="Calibri" w:hAnsi="Calibri"/>
              </w:rPr>
              <w:t>(a) whether part of a building falls within a description in the definitions of K</w:t>
            </w:r>
            <w:r w:rsidRPr="00AF6004">
              <w:rPr>
                <w:rFonts w:ascii="Calibri" w:hAnsi="Calibri"/>
                <w:vertAlign w:val="subscript"/>
              </w:rPr>
              <w:t>R</w:t>
            </w:r>
            <w:r w:rsidRPr="00A74976">
              <w:rPr>
                <w:rFonts w:ascii="Calibri" w:hAnsi="Calibri"/>
              </w:rPr>
              <w:t xml:space="preserve"> and E in paragraph (7); or </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(b) the gross internal area of any part of a building falling within such a description, it may deem the gross internal area of the part in question to be zero. </w:t>
            </w:r>
          </w:p>
          <w:p w:rsidR="00C7785F" w:rsidRPr="00A74976" w:rsidRDefault="00C7785F" w:rsidP="00555192">
            <w:pPr>
              <w:autoSpaceDE w:val="0"/>
              <w:autoSpaceDN w:val="0"/>
              <w:adjustRightInd w:val="0"/>
              <w:ind w:left="60"/>
              <w:rPr>
                <w:rFonts w:ascii="Calibri" w:hAnsi="Calibri"/>
              </w:rPr>
            </w:pPr>
            <w:r w:rsidRPr="00A74976">
              <w:rPr>
                <w:rFonts w:ascii="Calibri" w:hAnsi="Calibri"/>
              </w:rPr>
              <w:t>(11) In this regulation—</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 “building” does not include— </w:t>
            </w:r>
          </w:p>
          <w:p w:rsidR="00C7785F" w:rsidRPr="00A74976" w:rsidRDefault="00C7785F" w:rsidP="00555192">
            <w:pPr>
              <w:numPr>
                <w:ilvl w:val="0"/>
                <w:numId w:val="17"/>
              </w:numPr>
              <w:autoSpaceDE w:val="0"/>
              <w:autoSpaceDN w:val="0"/>
              <w:adjustRightInd w:val="0"/>
              <w:rPr>
                <w:rFonts w:ascii="Calibri" w:hAnsi="Calibri"/>
              </w:rPr>
            </w:pPr>
            <w:r w:rsidRPr="00A74976">
              <w:rPr>
                <w:rFonts w:ascii="Calibri" w:hAnsi="Calibri"/>
              </w:rPr>
              <w:t>a building into which people do not normally go,</w:t>
            </w:r>
          </w:p>
          <w:p w:rsidR="00C7785F" w:rsidRPr="00A74976" w:rsidRDefault="00C7785F" w:rsidP="00555192">
            <w:pPr>
              <w:numPr>
                <w:ilvl w:val="0"/>
                <w:numId w:val="17"/>
              </w:numPr>
              <w:autoSpaceDE w:val="0"/>
              <w:autoSpaceDN w:val="0"/>
              <w:adjustRightInd w:val="0"/>
              <w:rPr>
                <w:rFonts w:ascii="Calibri" w:hAnsi="Calibri"/>
              </w:rPr>
            </w:pPr>
            <w:r w:rsidRPr="00A74976">
              <w:rPr>
                <w:rFonts w:ascii="Calibri" w:hAnsi="Calibri"/>
              </w:rPr>
              <w:t>a building into which people go only intermittently for the purpose of maintaining or inspecting machinery, or</w:t>
            </w:r>
          </w:p>
          <w:p w:rsidR="00C7785F" w:rsidRPr="00A74976" w:rsidRDefault="00C7785F" w:rsidP="00555192">
            <w:pPr>
              <w:numPr>
                <w:ilvl w:val="0"/>
                <w:numId w:val="17"/>
              </w:numPr>
              <w:autoSpaceDE w:val="0"/>
              <w:autoSpaceDN w:val="0"/>
              <w:adjustRightInd w:val="0"/>
              <w:rPr>
                <w:rFonts w:ascii="Calibri" w:hAnsi="Calibri"/>
              </w:rPr>
            </w:pPr>
            <w:r w:rsidRPr="00A74976">
              <w:rPr>
                <w:rFonts w:ascii="Calibri" w:hAnsi="Calibri"/>
              </w:rPr>
              <w:t xml:space="preserve">a building for which planning permission was granted for a limited period; </w:t>
            </w:r>
          </w:p>
          <w:p w:rsidR="00C7785F" w:rsidRPr="00A74976" w:rsidRDefault="00C7785F" w:rsidP="00555192">
            <w:pPr>
              <w:autoSpaceDE w:val="0"/>
              <w:autoSpaceDN w:val="0"/>
              <w:adjustRightInd w:val="0"/>
              <w:ind w:left="60"/>
              <w:rPr>
                <w:rFonts w:ascii="Calibri" w:hAnsi="Calibri"/>
              </w:rPr>
            </w:pPr>
            <w:r w:rsidRPr="00A74976">
              <w:rPr>
                <w:rFonts w:ascii="Calibri" w:hAnsi="Calibri"/>
              </w:rPr>
              <w:t>“in-use building” means a building which—</w:t>
            </w:r>
          </w:p>
          <w:p w:rsidR="00C7785F" w:rsidRPr="00A74976" w:rsidRDefault="00C7785F" w:rsidP="00555192">
            <w:pPr>
              <w:numPr>
                <w:ilvl w:val="0"/>
                <w:numId w:val="18"/>
              </w:numPr>
              <w:autoSpaceDE w:val="0"/>
              <w:autoSpaceDN w:val="0"/>
              <w:adjustRightInd w:val="0"/>
              <w:rPr>
                <w:rFonts w:ascii="Calibri" w:hAnsi="Calibri"/>
              </w:rPr>
            </w:pPr>
            <w:r w:rsidRPr="00A74976">
              <w:rPr>
                <w:rFonts w:ascii="Calibri" w:hAnsi="Calibri"/>
              </w:rPr>
              <w:t>is a relevant building, and</w:t>
            </w:r>
          </w:p>
          <w:p w:rsidR="00C7785F" w:rsidRPr="00A74976" w:rsidRDefault="00C7785F" w:rsidP="00555192">
            <w:pPr>
              <w:numPr>
                <w:ilvl w:val="0"/>
                <w:numId w:val="18"/>
              </w:numPr>
              <w:autoSpaceDE w:val="0"/>
              <w:autoSpaceDN w:val="0"/>
              <w:adjustRightInd w:val="0"/>
              <w:rPr>
                <w:rFonts w:ascii="Calibri" w:hAnsi="Calibri"/>
              </w:rPr>
            </w:pPr>
            <w:r w:rsidRPr="00A74976">
              <w:rPr>
                <w:rFonts w:ascii="Calibri" w:hAnsi="Calibri"/>
              </w:rPr>
              <w:t xml:space="preserve">contains a part that has been in lawful use for a continuous period of at least six months within the period of three years ending on the day planning permission first permits the chargeable development; </w:t>
            </w:r>
          </w:p>
          <w:p w:rsidR="00C7785F" w:rsidRPr="00A74976" w:rsidRDefault="00C7785F" w:rsidP="00555192">
            <w:pPr>
              <w:autoSpaceDE w:val="0"/>
              <w:autoSpaceDN w:val="0"/>
              <w:adjustRightInd w:val="0"/>
              <w:ind w:left="60"/>
              <w:rPr>
                <w:rFonts w:ascii="Calibri" w:hAnsi="Calibri"/>
              </w:rPr>
            </w:pPr>
            <w:r w:rsidRPr="00A74976">
              <w:rPr>
                <w:rFonts w:ascii="Calibri" w:hAnsi="Calibri"/>
              </w:rPr>
              <w:t>“new build” means that part of the chargeable development which will comprise new buildings and enlargements to existing buildings;</w:t>
            </w:r>
          </w:p>
          <w:p w:rsidR="00C7785F" w:rsidRPr="00A74976" w:rsidRDefault="00C7785F" w:rsidP="00555192">
            <w:pPr>
              <w:autoSpaceDE w:val="0"/>
              <w:autoSpaceDN w:val="0"/>
              <w:adjustRightInd w:val="0"/>
              <w:ind w:left="60"/>
              <w:rPr>
                <w:rFonts w:ascii="Calibri" w:hAnsi="Calibri"/>
              </w:rPr>
            </w:pPr>
            <w:r w:rsidRPr="00A74976">
              <w:rPr>
                <w:rFonts w:ascii="Calibri" w:hAnsi="Calibri"/>
              </w:rPr>
              <w:t>“relevant building” means a building which is situated on the relevant land on the day planning permission first permits the chargeable development;</w:t>
            </w:r>
          </w:p>
          <w:p w:rsidR="00C7785F" w:rsidRPr="00A74976" w:rsidRDefault="00C7785F" w:rsidP="00555192">
            <w:pPr>
              <w:autoSpaceDE w:val="0"/>
              <w:autoSpaceDN w:val="0"/>
              <w:adjustRightInd w:val="0"/>
              <w:ind w:left="60"/>
              <w:rPr>
                <w:rFonts w:ascii="Calibri" w:hAnsi="Calibri"/>
              </w:rPr>
            </w:pPr>
            <w:r w:rsidRPr="00A74976">
              <w:rPr>
                <w:rFonts w:ascii="Calibri" w:hAnsi="Calibri"/>
              </w:rPr>
              <w:t xml:space="preserve">“relevant charging schedules” means the charging schedules which are in effect— </w:t>
            </w:r>
          </w:p>
          <w:p w:rsidR="00C7785F" w:rsidRPr="00A74976" w:rsidRDefault="00C7785F" w:rsidP="00555192">
            <w:pPr>
              <w:numPr>
                <w:ilvl w:val="0"/>
                <w:numId w:val="19"/>
              </w:numPr>
              <w:autoSpaceDE w:val="0"/>
              <w:autoSpaceDN w:val="0"/>
              <w:adjustRightInd w:val="0"/>
              <w:rPr>
                <w:rFonts w:ascii="Calibri" w:hAnsi="Calibri"/>
              </w:rPr>
            </w:pPr>
            <w:r w:rsidRPr="00A74976">
              <w:rPr>
                <w:rFonts w:ascii="Calibri" w:hAnsi="Calibri"/>
              </w:rPr>
              <w:t>at the time planning permission first permits the chargeable development, and</w:t>
            </w:r>
          </w:p>
          <w:p w:rsidR="00C7785F" w:rsidRPr="00A74976" w:rsidRDefault="00C7785F" w:rsidP="00555192">
            <w:pPr>
              <w:numPr>
                <w:ilvl w:val="0"/>
                <w:numId w:val="19"/>
              </w:numPr>
              <w:autoSpaceDE w:val="0"/>
              <w:autoSpaceDN w:val="0"/>
              <w:adjustRightInd w:val="0"/>
              <w:rPr>
                <w:rFonts w:ascii="Calibri" w:hAnsi="Calibri"/>
              </w:rPr>
            </w:pPr>
            <w:r w:rsidRPr="00A74976">
              <w:rPr>
                <w:rFonts w:ascii="Calibri" w:hAnsi="Calibri"/>
              </w:rPr>
              <w:t>in the area in which the chargeable development will be situated;</w:t>
            </w:r>
          </w:p>
          <w:p w:rsidR="00C7785F" w:rsidRPr="00A74976" w:rsidRDefault="00C7785F" w:rsidP="00555192">
            <w:pPr>
              <w:autoSpaceDE w:val="0"/>
              <w:autoSpaceDN w:val="0"/>
              <w:adjustRightInd w:val="0"/>
              <w:ind w:left="60"/>
              <w:rPr>
                <w:rFonts w:ascii="Calibri" w:hAnsi="Calibri"/>
              </w:rPr>
            </w:pPr>
            <w:r w:rsidRPr="00A74976">
              <w:rPr>
                <w:rFonts w:ascii="Calibri" w:hAnsi="Calibri"/>
              </w:rPr>
              <w:t>“retained part” means part of a building which will be—</w:t>
            </w:r>
          </w:p>
          <w:p w:rsidR="00C7785F" w:rsidRPr="00A74976" w:rsidRDefault="00C7785F" w:rsidP="00555192">
            <w:pPr>
              <w:numPr>
                <w:ilvl w:val="0"/>
                <w:numId w:val="20"/>
              </w:numPr>
              <w:autoSpaceDE w:val="0"/>
              <w:autoSpaceDN w:val="0"/>
              <w:adjustRightInd w:val="0"/>
              <w:rPr>
                <w:rFonts w:ascii="Calibri" w:hAnsi="Calibri"/>
              </w:rPr>
            </w:pPr>
            <w:r w:rsidRPr="00A74976">
              <w:rPr>
                <w:rFonts w:ascii="Calibri" w:hAnsi="Calibri"/>
              </w:rPr>
              <w:t xml:space="preserve">on the relevant land on completion of the chargeable development (excluding new build), </w:t>
            </w:r>
          </w:p>
          <w:p w:rsidR="00C7785F" w:rsidRPr="00A74976" w:rsidRDefault="00C7785F" w:rsidP="00555192">
            <w:pPr>
              <w:numPr>
                <w:ilvl w:val="0"/>
                <w:numId w:val="20"/>
              </w:numPr>
              <w:autoSpaceDE w:val="0"/>
              <w:autoSpaceDN w:val="0"/>
              <w:adjustRightInd w:val="0"/>
              <w:rPr>
                <w:rFonts w:ascii="Calibri" w:hAnsi="Calibri"/>
              </w:rPr>
            </w:pPr>
            <w:r w:rsidRPr="00A74976">
              <w:rPr>
                <w:rFonts w:ascii="Calibri" w:hAnsi="Calibri"/>
              </w:rPr>
              <w:t xml:space="preserve">part of the chargeable development on completion, and </w:t>
            </w:r>
          </w:p>
          <w:p w:rsidR="00C7785F" w:rsidRDefault="00C7785F" w:rsidP="00555192">
            <w:pPr>
              <w:numPr>
                <w:ilvl w:val="0"/>
                <w:numId w:val="20"/>
              </w:numPr>
              <w:autoSpaceDE w:val="0"/>
              <w:autoSpaceDN w:val="0"/>
              <w:adjustRightInd w:val="0"/>
              <w:rPr>
                <w:rFonts w:ascii="Calibri" w:hAnsi="Calibri"/>
              </w:rPr>
            </w:pPr>
            <w:r w:rsidRPr="00A74976">
              <w:rPr>
                <w:rFonts w:ascii="Calibri" w:hAnsi="Calibri"/>
              </w:rPr>
              <w:t>chargeable at rate R.”</w:t>
            </w:r>
          </w:p>
          <w:p w:rsidR="00C7785F" w:rsidRPr="001B2DA0" w:rsidRDefault="00C7785F" w:rsidP="00555192">
            <w:pPr>
              <w:autoSpaceDE w:val="0"/>
              <w:autoSpaceDN w:val="0"/>
              <w:adjustRightInd w:val="0"/>
              <w:rPr>
                <w:rFonts w:ascii="Calibri" w:hAnsi="Calibri" w:cs="TimesNewRoman"/>
                <w:sz w:val="22"/>
                <w:szCs w:val="22"/>
              </w:rPr>
            </w:pPr>
            <w:r w:rsidRPr="001B2DA0" w:rsidDel="00DD5932">
              <w:rPr>
                <w:rFonts w:ascii="Calibri" w:hAnsi="Calibri" w:cs="TimesNewRoman"/>
              </w:rPr>
              <w:t xml:space="preserve"> </w:t>
            </w:r>
          </w:p>
        </w:tc>
      </w:tr>
    </w:tbl>
    <w:p w:rsidR="00C7785F" w:rsidRDefault="00C7785F" w:rsidP="00C7785F">
      <w:pPr>
        <w:autoSpaceDE w:val="0"/>
        <w:autoSpaceDN w:val="0"/>
        <w:adjustRightInd w:val="0"/>
        <w:rPr>
          <w:rFonts w:ascii="Calibri" w:hAnsi="Calibri" w:cs="TimesNewRoman"/>
          <w:b/>
          <w:sz w:val="20"/>
          <w:szCs w:val="20"/>
        </w:rPr>
      </w:pPr>
    </w:p>
    <w:p w:rsidR="00C7785F" w:rsidRPr="002B2CFD" w:rsidRDefault="00C7785F" w:rsidP="00AD51EA">
      <w:pPr>
        <w:numPr>
          <w:ilvl w:val="0"/>
          <w:numId w:val="22"/>
        </w:numPr>
        <w:rPr>
          <w:rFonts w:ascii="Calibri" w:hAnsi="Calibri" w:cs="Arial"/>
          <w:b/>
          <w:color w:val="007373"/>
        </w:rPr>
      </w:pPr>
      <w:r w:rsidRPr="002B2CFD">
        <w:rPr>
          <w:rFonts w:ascii="Calibri" w:hAnsi="Calibri" w:cs="TimesNewRoman"/>
          <w:b/>
          <w:color w:val="007373"/>
          <w:szCs w:val="20"/>
        </w:rPr>
        <w:t>Registered in England and Wales RC00487.</w:t>
      </w:r>
    </w:p>
    <w:p w:rsidR="00C7785F" w:rsidRPr="002B2CFD" w:rsidRDefault="00C7785F" w:rsidP="00C7785F">
      <w:pPr>
        <w:rPr>
          <w:rFonts w:ascii="Calibri" w:hAnsi="Calibri" w:cs="Arial"/>
          <w:b/>
          <w:color w:val="0000FF"/>
        </w:rPr>
      </w:pPr>
    </w:p>
    <w:p w:rsidR="00655169" w:rsidRDefault="00655169" w:rsidP="00C7785F">
      <w:pPr>
        <w:rPr>
          <w:rFonts w:ascii="Calibri" w:hAnsi="Calibri" w:cs="Arial"/>
          <w:b/>
          <w:color w:val="0000FF"/>
        </w:rPr>
      </w:pPr>
      <w:r w:rsidRPr="00D665FA">
        <w:rPr>
          <w:rFonts w:ascii="Calibri" w:hAnsi="Calibri" w:cs="Arial"/>
          <w:b/>
          <w:color w:val="0000FF"/>
          <w:highlight w:val="magenta"/>
        </w:rPr>
        <w:t xml:space="preserve"> </w:t>
      </w:r>
    </w:p>
    <w:p w:rsidR="00C7785F" w:rsidRPr="00AD51EA" w:rsidRDefault="00655169" w:rsidP="00C7785F">
      <w:pPr>
        <w:rPr>
          <w:rFonts w:ascii="Calibri" w:hAnsi="Calibri" w:cs="Arial"/>
          <w:b/>
          <w:color w:val="0000FF"/>
        </w:rPr>
      </w:pPr>
      <w:r>
        <w:rPr>
          <w:rFonts w:ascii="Calibri" w:hAnsi="Calibri" w:cs="Arial"/>
          <w:b/>
          <w:color w:val="0000FF"/>
        </w:rPr>
        <w:br w:type="page"/>
      </w:r>
      <w:r w:rsidRPr="00861F56">
        <w:rPr>
          <w:rFonts w:ascii="Calibri" w:hAnsi="Calibri" w:cs="Arial"/>
          <w:b/>
          <w:color w:val="007373"/>
        </w:rPr>
        <w:lastRenderedPageBreak/>
        <w:t xml:space="preserve">Annex 3 </w:t>
      </w:r>
      <w:r w:rsidR="00C7785F" w:rsidRPr="00861F56">
        <w:rPr>
          <w:rFonts w:ascii="Calibri" w:hAnsi="Calibri" w:cs="Arial"/>
          <w:b/>
          <w:color w:val="007373"/>
        </w:rPr>
        <w:t xml:space="preserve">– How to measure Gross Internal Area </w:t>
      </w:r>
    </w:p>
    <w:p w:rsidR="00C7785F" w:rsidRPr="00AD51EA" w:rsidRDefault="00C7785F" w:rsidP="00C7785F">
      <w:pPr>
        <w:rPr>
          <w:rFonts w:ascii="Calibri" w:hAnsi="Calibri" w:cs="Arial"/>
        </w:rPr>
      </w:pPr>
      <w:r w:rsidRPr="00AD51EA">
        <w:rPr>
          <w:rFonts w:ascii="Calibri" w:hAnsi="Calibri"/>
        </w:rPr>
        <w:t xml:space="preserve">Oxford City Council will use the Royal Institution of Chartered Surveyors (RICS)’s Code of Measuring Practice </w:t>
      </w:r>
      <w:r w:rsidRPr="00AD51EA">
        <w:rPr>
          <w:rFonts w:ascii="Calibri" w:hAnsi="Calibri" w:cs="Arial"/>
        </w:rPr>
        <w:t>to measure or check the Gross Internal Area (GIA) of a development and calculate or confirm its relevant CIL rate. The guide below is based on RICS’ Code of Measuring Practice (6</w:t>
      </w:r>
      <w:r w:rsidRPr="00AD51EA">
        <w:rPr>
          <w:rFonts w:ascii="Calibri" w:hAnsi="Calibri" w:cs="Arial"/>
          <w:vertAlign w:val="superscript"/>
        </w:rPr>
        <w:t>th</w:t>
      </w:r>
      <w:r w:rsidRPr="00AD51EA">
        <w:rPr>
          <w:rFonts w:ascii="Calibri" w:hAnsi="Calibri" w:cs="Arial"/>
        </w:rPr>
        <w:t xml:space="preserve"> edition, with amendments), the full Code of Measuring Practice is available in RICS website at </w:t>
      </w:r>
      <w:hyperlink r:id="rId18" w:history="1">
        <w:r w:rsidRPr="00861F56">
          <w:rPr>
            <w:rStyle w:val="Hyperlink"/>
            <w:rFonts w:ascii="Calibri" w:hAnsi="Calibri" w:cs="Arial"/>
            <w:color w:val="007373"/>
          </w:rPr>
          <w:t>http://www.rics.org</w:t>
        </w:r>
      </w:hyperlink>
    </w:p>
    <w:p w:rsidR="00C7785F" w:rsidRPr="00AD51EA" w:rsidRDefault="00C7785F" w:rsidP="00C7785F">
      <w:pPr>
        <w:rPr>
          <w:rFonts w:ascii="Calibri" w:hAnsi="Calibri"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C7785F" w:rsidRPr="00667A91" w:rsidTr="00C724BE">
        <w:tc>
          <w:tcPr>
            <w:tcW w:w="9288" w:type="dxa"/>
          </w:tcPr>
          <w:p w:rsidR="00C7785F" w:rsidRPr="00AD51EA" w:rsidRDefault="00C7785F" w:rsidP="00555192">
            <w:pPr>
              <w:pStyle w:val="Default"/>
              <w:jc w:val="both"/>
              <w:rPr>
                <w:rFonts w:ascii="Calibri" w:hAnsi="Calibri"/>
              </w:rPr>
            </w:pPr>
            <w:r w:rsidRPr="00AD51EA">
              <w:rPr>
                <w:rFonts w:ascii="Calibri" w:hAnsi="Calibri"/>
              </w:rPr>
              <w:t xml:space="preserve">GIA is the area of a building measured to the internal face of the perimeter walls at each floor level. </w:t>
            </w:r>
          </w:p>
          <w:p w:rsidR="00C7785F" w:rsidRPr="00AD51EA" w:rsidRDefault="00C7785F" w:rsidP="00555192">
            <w:pPr>
              <w:pStyle w:val="Default"/>
              <w:jc w:val="both"/>
              <w:rPr>
                <w:rFonts w:ascii="Calibri" w:hAnsi="Calibri"/>
              </w:rPr>
            </w:pPr>
          </w:p>
          <w:p w:rsidR="00C7785F" w:rsidRPr="00AD51EA" w:rsidRDefault="00C7785F" w:rsidP="00555192">
            <w:pPr>
              <w:pStyle w:val="Default"/>
              <w:jc w:val="both"/>
              <w:rPr>
                <w:rFonts w:ascii="Calibri" w:hAnsi="Calibri"/>
              </w:rPr>
            </w:pPr>
            <w:r w:rsidRPr="00AD51EA">
              <w:rPr>
                <w:rFonts w:ascii="Calibri" w:hAnsi="Calibri"/>
              </w:rPr>
              <w:t xml:space="preserve">Including: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Areas occupied by internal walls and partitions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Columns, piers, chimney breasts, stairwells, lift-wells, other internal projections, vertical ducts, and the like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Atria and entrance halls, with clear height above, measured at base level only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Internal open-sided balconies, walkways, and the like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Structural, raked or stepped floors are property to be treated as a level floor measured horizontally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Horizontal floors, with permanent access, below structural, raked or stepped floors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Corridors of a permanent essential nature (e.g. fire corridors, smoke lobbies)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Mezzanine floor areas with permanent access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Lift rooms, plant rooms, fuel stores, tank rooms which are housed in a covered structure of a permanent nature, whether or not above the main roof level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Service accommodation such as toilets, toilet lobbies, bathrooms, showers, changing rooms, cleaners’ rooms, and the like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Projection rooms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Voids over stairwells and lift shafts on upper floors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Loading bays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Areas with a headroom of less than 1.5m*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Pavement vaults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Garages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Conservatories </w:t>
            </w:r>
          </w:p>
          <w:p w:rsidR="00C7785F" w:rsidRPr="00AD51EA" w:rsidRDefault="00C7785F" w:rsidP="00555192">
            <w:pPr>
              <w:pStyle w:val="Default"/>
              <w:rPr>
                <w:rFonts w:ascii="Calibri" w:hAnsi="Calibri"/>
              </w:rPr>
            </w:pPr>
          </w:p>
          <w:p w:rsidR="00C7785F" w:rsidRPr="00AD51EA" w:rsidRDefault="00C7785F" w:rsidP="00555192">
            <w:pPr>
              <w:pStyle w:val="Default"/>
              <w:ind w:left="180"/>
              <w:jc w:val="both"/>
              <w:rPr>
                <w:rFonts w:ascii="Calibri" w:hAnsi="Calibri"/>
              </w:rPr>
            </w:pPr>
            <w:r w:rsidRPr="00AD51EA">
              <w:rPr>
                <w:rFonts w:ascii="Calibri" w:hAnsi="Calibri"/>
              </w:rPr>
              <w:t xml:space="preserve">Excluding: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Perimeter wall thicknesses and external projections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External open-sided balconies, covered ways and fire escapes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Canopies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Voids over or under structural, raked or stepped floors </w:t>
            </w:r>
          </w:p>
          <w:p w:rsidR="00C7785F" w:rsidRPr="00AD51EA" w:rsidRDefault="00C7785F" w:rsidP="00555192">
            <w:pPr>
              <w:pStyle w:val="Default"/>
              <w:numPr>
                <w:ilvl w:val="0"/>
                <w:numId w:val="8"/>
              </w:numPr>
              <w:jc w:val="both"/>
              <w:rPr>
                <w:rFonts w:ascii="Calibri" w:hAnsi="Calibri"/>
              </w:rPr>
            </w:pPr>
            <w:r w:rsidRPr="00AD51EA">
              <w:rPr>
                <w:rFonts w:ascii="Calibri" w:hAnsi="Calibri"/>
              </w:rPr>
              <w:t xml:space="preserve">Greenhouses, garden stores, fuel stores, and the like in residential </w:t>
            </w:r>
          </w:p>
          <w:p w:rsidR="00C7785F" w:rsidRPr="00AD51EA" w:rsidRDefault="00C7785F" w:rsidP="00555192">
            <w:pPr>
              <w:pStyle w:val="Default"/>
              <w:jc w:val="both"/>
              <w:rPr>
                <w:rFonts w:ascii="Calibri" w:hAnsi="Calibri"/>
              </w:rPr>
            </w:pPr>
          </w:p>
          <w:p w:rsidR="00C7785F" w:rsidRPr="00667A91" w:rsidRDefault="00C7785F" w:rsidP="00555192">
            <w:pPr>
              <w:rPr>
                <w:rFonts w:ascii="Calibri" w:hAnsi="Calibri"/>
              </w:rPr>
            </w:pPr>
            <w:r w:rsidRPr="00AD51EA">
              <w:rPr>
                <w:rFonts w:ascii="Calibri" w:hAnsi="Calibri"/>
              </w:rPr>
              <w:t>* GIA is the basis of measurement in England and Wales for the rating of industrial buildings, warehouses, retail warehouses, department stores, variety stores, food superstores and many specialist classes valued by reference to building cost (areas with a headroom of less than 1.5m being excluded except under stairs)</w:t>
            </w:r>
            <w:r w:rsidRPr="00667A91">
              <w:rPr>
                <w:rFonts w:ascii="Calibri" w:hAnsi="Calibri"/>
              </w:rPr>
              <w:t xml:space="preserve"> </w:t>
            </w:r>
          </w:p>
        </w:tc>
      </w:tr>
    </w:tbl>
    <w:p w:rsidR="00C7785F" w:rsidRDefault="00C7785F" w:rsidP="00C7785F">
      <w:pPr>
        <w:rPr>
          <w:rFonts w:ascii="Calibri" w:hAnsi="Calibri" w:cs="Arial"/>
          <w:b/>
          <w:color w:val="0000FF"/>
        </w:rPr>
      </w:pPr>
    </w:p>
    <w:p w:rsidR="00D07C7A" w:rsidRPr="000D2DE5" w:rsidRDefault="00C7785F" w:rsidP="00AD51EA">
      <w:pPr>
        <w:rPr>
          <w:rFonts w:ascii="Calibri" w:hAnsi="Calibri" w:cs="TimesNewRoman"/>
          <w:b/>
          <w:color w:val="0000FF"/>
          <w:szCs w:val="20"/>
        </w:rPr>
      </w:pPr>
      <w:r>
        <w:rPr>
          <w:rFonts w:ascii="Calibri" w:hAnsi="Calibri" w:cs="Arial"/>
          <w:b/>
          <w:color w:val="0000FF"/>
        </w:rPr>
        <w:br w:type="page"/>
      </w:r>
      <w:r w:rsidR="00634710" w:rsidRPr="00861F56">
        <w:rPr>
          <w:rFonts w:ascii="Calibri" w:hAnsi="Calibri" w:cs="TimesNewRoman"/>
          <w:b/>
          <w:color w:val="007373"/>
          <w:szCs w:val="20"/>
        </w:rPr>
        <w:lastRenderedPageBreak/>
        <w:t>Annex 4 – Instalments policy</w:t>
      </w:r>
    </w:p>
    <w:p w:rsidR="00D07C7A" w:rsidRDefault="00D07C7A" w:rsidP="00D07C7A">
      <w:pPr>
        <w:autoSpaceDE w:val="0"/>
        <w:autoSpaceDN w:val="0"/>
        <w:adjustRightInd w:val="0"/>
        <w:jc w:val="center"/>
        <w:rPr>
          <w:rFonts w:ascii="Calibri" w:hAnsi="Calibri" w:cs="TimesNewRoman"/>
          <w:b/>
          <w:sz w:val="20"/>
          <w:szCs w:val="20"/>
        </w:rPr>
      </w:pPr>
    </w:p>
    <w:tbl>
      <w:tblPr>
        <w:tblW w:w="9576" w:type="dxa"/>
        <w:tblInd w:w="-2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76"/>
      </w:tblGrid>
      <w:tr w:rsidR="00680252" w:rsidTr="00407905">
        <w:trPr>
          <w:trHeight w:val="12450"/>
        </w:trPr>
        <w:tc>
          <w:tcPr>
            <w:tcW w:w="9576" w:type="dxa"/>
          </w:tcPr>
          <w:tbl>
            <w:tblPr>
              <w:tblpPr w:leftFromText="180" w:rightFromText="180" w:vertAnchor="text" w:horzAnchor="margin" w:tblpY="-178"/>
              <w:tblW w:w="9360" w:type="dxa"/>
              <w:tblLook w:val="01E0" w:firstRow="1" w:lastRow="1" w:firstColumn="1" w:lastColumn="1" w:noHBand="0" w:noVBand="0"/>
            </w:tblPr>
            <w:tblGrid>
              <w:gridCol w:w="6217"/>
              <w:gridCol w:w="3143"/>
            </w:tblGrid>
            <w:tr w:rsidR="00680252" w:rsidRPr="001B2DA0" w:rsidTr="00D34175">
              <w:tc>
                <w:tcPr>
                  <w:tcW w:w="6217" w:type="dxa"/>
                  <w:shd w:val="clear" w:color="auto" w:fill="auto"/>
                </w:tcPr>
                <w:p w:rsidR="00680252" w:rsidRPr="001B2DA0" w:rsidRDefault="00680252" w:rsidP="00FB75D1">
                  <w:pPr>
                    <w:rPr>
                      <w:rFonts w:ascii="Calibri" w:hAnsi="Calibri"/>
                      <w:b/>
                      <w:sz w:val="28"/>
                      <w:szCs w:val="28"/>
                      <w:lang w:val="en"/>
                    </w:rPr>
                  </w:pPr>
                  <w:r w:rsidRPr="001B2DA0">
                    <w:rPr>
                      <w:rFonts w:ascii="Calibri" w:hAnsi="Calibri"/>
                      <w:b/>
                      <w:sz w:val="28"/>
                      <w:szCs w:val="28"/>
                      <w:lang w:val="en"/>
                    </w:rPr>
                    <w:t xml:space="preserve">Community Infrastructure Levy </w:t>
                  </w:r>
                </w:p>
                <w:p w:rsidR="00680252" w:rsidRPr="001B2DA0" w:rsidRDefault="00680252" w:rsidP="00FB75D1">
                  <w:pPr>
                    <w:rPr>
                      <w:rFonts w:ascii="Calibri" w:hAnsi="Calibri"/>
                      <w:b/>
                      <w:sz w:val="28"/>
                      <w:szCs w:val="28"/>
                      <w:lang w:val="en"/>
                    </w:rPr>
                  </w:pPr>
                  <w:r w:rsidRPr="001B2DA0">
                    <w:rPr>
                      <w:rFonts w:ascii="Calibri" w:hAnsi="Calibri"/>
                      <w:b/>
                      <w:sz w:val="28"/>
                      <w:szCs w:val="28"/>
                      <w:lang w:val="en"/>
                    </w:rPr>
                    <w:t>Instalments policy</w:t>
                  </w:r>
                </w:p>
              </w:tc>
              <w:tc>
                <w:tcPr>
                  <w:tcW w:w="3143" w:type="dxa"/>
                  <w:shd w:val="clear" w:color="auto" w:fill="auto"/>
                </w:tcPr>
                <w:p w:rsidR="00680252" w:rsidRPr="001B2DA0" w:rsidRDefault="00D55928" w:rsidP="001B2DA0">
                  <w:pPr>
                    <w:jc w:val="right"/>
                    <w:rPr>
                      <w:rFonts w:ascii="Calibri" w:hAnsi="Calibri"/>
                      <w:b/>
                      <w:lang w:val="en"/>
                    </w:rPr>
                  </w:pPr>
                  <w:r>
                    <w:rPr>
                      <w:rFonts w:ascii="Calibri" w:hAnsi="Calibri"/>
                      <w:b/>
                      <w:noProof/>
                      <w:lang w:eastAsia="en-GB"/>
                    </w:rPr>
                    <w:drawing>
                      <wp:inline distT="0" distB="0" distL="0" distR="0" wp14:anchorId="3ED5FC33" wp14:editId="32390918">
                        <wp:extent cx="836295" cy="1126490"/>
                        <wp:effectExtent l="0" t="0" r="1905" b="0"/>
                        <wp:docPr id="4" name="Picture 4" descr="OxfordCityCouncil_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CityCouncil_Black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6295" cy="1126490"/>
                                </a:xfrm>
                                <a:prstGeom prst="rect">
                                  <a:avLst/>
                                </a:prstGeom>
                                <a:noFill/>
                                <a:ln>
                                  <a:noFill/>
                                </a:ln>
                              </pic:spPr>
                            </pic:pic>
                          </a:graphicData>
                        </a:graphic>
                      </wp:inline>
                    </w:drawing>
                  </w:r>
                </w:p>
              </w:tc>
            </w:tr>
          </w:tbl>
          <w:p w:rsidR="00680252" w:rsidRDefault="00680252" w:rsidP="006B3A6B">
            <w:pPr>
              <w:rPr>
                <w:rFonts w:ascii="Calibri" w:hAnsi="Calibri" w:cs="Arial"/>
              </w:rPr>
            </w:pPr>
          </w:p>
          <w:p w:rsidR="00680252" w:rsidRPr="003F7D52" w:rsidRDefault="00680252" w:rsidP="002D2612">
            <w:pPr>
              <w:spacing w:after="120"/>
              <w:rPr>
                <w:rFonts w:ascii="Calibri" w:hAnsi="Calibri" w:cs="Arial"/>
              </w:rPr>
            </w:pPr>
            <w:r w:rsidRPr="003F7D52">
              <w:rPr>
                <w:rFonts w:ascii="Calibri" w:hAnsi="Calibri" w:cs="Arial"/>
              </w:rPr>
              <w:t xml:space="preserve">This policy is made in line </w:t>
            </w:r>
            <w:r w:rsidRPr="009D0B48">
              <w:rPr>
                <w:rFonts w:ascii="Calibri" w:hAnsi="Calibri" w:cs="Arial"/>
              </w:rPr>
              <w:t>with regulation 69B of the Community Infrastructure Levy (Amendment) Regulations 2011 .</w:t>
            </w:r>
            <w:r w:rsidRPr="003F7D52">
              <w:rPr>
                <w:rFonts w:ascii="Calibri" w:hAnsi="Calibri" w:cs="Arial"/>
              </w:rPr>
              <w:t xml:space="preserve"> Oxford City Council will allow the payment of CIL as outlined in points 1 and 2 below:</w:t>
            </w:r>
          </w:p>
          <w:p w:rsidR="00680252" w:rsidRPr="003F7D52" w:rsidRDefault="00680252" w:rsidP="00A74976">
            <w:pPr>
              <w:numPr>
                <w:ilvl w:val="0"/>
                <w:numId w:val="13"/>
              </w:numPr>
              <w:spacing w:after="120"/>
              <w:rPr>
                <w:rFonts w:ascii="Calibri" w:hAnsi="Calibri" w:cs="Arial"/>
              </w:rPr>
            </w:pPr>
            <w:r w:rsidRPr="003F7D52">
              <w:rPr>
                <w:rFonts w:ascii="Calibri" w:hAnsi="Calibri" w:cs="Arial"/>
              </w:rPr>
              <w:t>Where the chargeable amount is less than £200,000 the chargeable amount will be required within 60 days of commencement.</w:t>
            </w:r>
          </w:p>
          <w:p w:rsidR="00680252" w:rsidRPr="002D2612" w:rsidRDefault="00680252" w:rsidP="00A74976">
            <w:pPr>
              <w:numPr>
                <w:ilvl w:val="0"/>
                <w:numId w:val="13"/>
              </w:numPr>
              <w:spacing w:after="120"/>
              <w:rPr>
                <w:rFonts w:ascii="Calibri" w:hAnsi="Calibri" w:cs="Arial"/>
              </w:rPr>
            </w:pPr>
            <w:r w:rsidRPr="003F7D52">
              <w:rPr>
                <w:rFonts w:ascii="Calibri" w:hAnsi="Calibri" w:cs="Arial"/>
              </w:rPr>
              <w:t>Where the chargeable amount is</w:t>
            </w:r>
            <w:r w:rsidR="00F35A8D">
              <w:rPr>
                <w:rFonts w:ascii="Calibri" w:hAnsi="Calibri" w:cs="Arial"/>
              </w:rPr>
              <w:t xml:space="preserve"> between</w:t>
            </w:r>
            <w:r w:rsidRPr="003F7D52">
              <w:rPr>
                <w:rFonts w:ascii="Calibri" w:hAnsi="Calibri" w:cs="Arial"/>
              </w:rPr>
              <w:t xml:space="preserve"> £200,0</w:t>
            </w:r>
            <w:r w:rsidR="003B7C84">
              <w:rPr>
                <w:rFonts w:ascii="Calibri" w:hAnsi="Calibri" w:cs="Arial"/>
              </w:rPr>
              <w:t>0</w:t>
            </w:r>
            <w:r w:rsidRPr="003F7D52">
              <w:rPr>
                <w:rFonts w:ascii="Calibri" w:hAnsi="Calibri" w:cs="Arial"/>
              </w:rPr>
              <w:t>0</w:t>
            </w:r>
            <w:r w:rsidR="00F35A8D">
              <w:rPr>
                <w:rFonts w:ascii="Calibri" w:hAnsi="Calibri" w:cs="Arial"/>
              </w:rPr>
              <w:t xml:space="preserve"> and £2 million,</w:t>
            </w:r>
            <w:r w:rsidRPr="003F7D52">
              <w:rPr>
                <w:rFonts w:ascii="Calibri" w:hAnsi="Calibri" w:cs="Arial"/>
              </w:rPr>
              <w:t xml:space="preserve"> the chargeable amount will be required as per the following four instalments:</w:t>
            </w:r>
          </w:p>
          <w:tbl>
            <w:tblPr>
              <w:tblW w:w="0" w:type="auto"/>
              <w:tblBorders>
                <w:top w:val="single" w:sz="12" w:space="0" w:color="auto"/>
                <w:bottom w:val="single" w:sz="12" w:space="0" w:color="auto"/>
                <w:insideH w:val="single" w:sz="2" w:space="0" w:color="auto"/>
                <w:insideV w:val="single" w:sz="2" w:space="0" w:color="auto"/>
              </w:tblBorders>
              <w:tblLook w:val="01E0" w:firstRow="1" w:lastRow="1" w:firstColumn="1" w:lastColumn="1" w:noHBand="0" w:noVBand="0"/>
            </w:tblPr>
            <w:tblGrid>
              <w:gridCol w:w="2147"/>
              <w:gridCol w:w="2147"/>
              <w:gridCol w:w="2147"/>
              <w:gridCol w:w="2148"/>
            </w:tblGrid>
            <w:tr w:rsidR="00680252" w:rsidRPr="001B2DA0" w:rsidTr="00407905">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1</w:t>
                  </w:r>
                  <w:r w:rsidRPr="001B2DA0">
                    <w:rPr>
                      <w:rFonts w:ascii="Calibri" w:hAnsi="Calibri" w:cs="Arial"/>
                      <w:vertAlign w:val="superscript"/>
                    </w:rPr>
                    <w:t>st</w:t>
                  </w:r>
                  <w:r w:rsidRPr="001B2DA0">
                    <w:rPr>
                      <w:rFonts w:ascii="Calibri" w:hAnsi="Calibri" w:cs="Arial"/>
                    </w:rPr>
                    <w:t xml:space="preserve">  instalment</w:t>
                  </w:r>
                </w:p>
              </w:tc>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2</w:t>
                  </w:r>
                  <w:r w:rsidRPr="001B2DA0">
                    <w:rPr>
                      <w:rFonts w:ascii="Calibri" w:hAnsi="Calibri" w:cs="Arial"/>
                      <w:vertAlign w:val="superscript"/>
                    </w:rPr>
                    <w:t>nd</w:t>
                  </w:r>
                  <w:r w:rsidRPr="001B2DA0">
                    <w:rPr>
                      <w:rFonts w:ascii="Calibri" w:hAnsi="Calibri" w:cs="Arial"/>
                    </w:rPr>
                    <w:t xml:space="preserve">  instalment</w:t>
                  </w:r>
                </w:p>
              </w:tc>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3</w:t>
                  </w:r>
                  <w:r w:rsidRPr="001B2DA0">
                    <w:rPr>
                      <w:rFonts w:ascii="Calibri" w:hAnsi="Calibri" w:cs="Arial"/>
                      <w:vertAlign w:val="superscript"/>
                    </w:rPr>
                    <w:t>rd</w:t>
                  </w:r>
                  <w:r w:rsidRPr="001B2DA0">
                    <w:rPr>
                      <w:rFonts w:ascii="Calibri" w:hAnsi="Calibri" w:cs="Arial"/>
                    </w:rPr>
                    <w:t xml:space="preserve">  instalment</w:t>
                  </w:r>
                </w:p>
              </w:tc>
              <w:tc>
                <w:tcPr>
                  <w:tcW w:w="2148"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4</w:t>
                  </w:r>
                  <w:r w:rsidRPr="001B2DA0">
                    <w:rPr>
                      <w:rFonts w:ascii="Calibri" w:hAnsi="Calibri" w:cs="Arial"/>
                      <w:vertAlign w:val="superscript"/>
                    </w:rPr>
                    <w:t>th</w:t>
                  </w:r>
                  <w:r w:rsidRPr="001B2DA0">
                    <w:rPr>
                      <w:rFonts w:ascii="Calibri" w:hAnsi="Calibri" w:cs="Arial"/>
                    </w:rPr>
                    <w:t xml:space="preserve">  instalment</w:t>
                  </w:r>
                </w:p>
              </w:tc>
            </w:tr>
            <w:tr w:rsidR="00680252" w:rsidRPr="001B2DA0" w:rsidTr="00407905">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25%</w:t>
                  </w:r>
                </w:p>
                <w:p w:rsidR="00680252" w:rsidRPr="001B2DA0" w:rsidRDefault="00680252" w:rsidP="001B2DA0">
                  <w:pPr>
                    <w:jc w:val="center"/>
                    <w:rPr>
                      <w:rFonts w:ascii="Calibri" w:hAnsi="Calibri" w:cs="Arial"/>
                    </w:rPr>
                  </w:pPr>
                  <w:r w:rsidRPr="001B2DA0">
                    <w:rPr>
                      <w:rFonts w:ascii="Calibri" w:hAnsi="Calibri" w:cs="Arial"/>
                    </w:rPr>
                    <w:t>within 60 days</w:t>
                  </w:r>
                </w:p>
              </w:tc>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25%</w:t>
                  </w:r>
                </w:p>
                <w:p w:rsidR="00680252" w:rsidRPr="001B2DA0" w:rsidRDefault="00680252" w:rsidP="001B2DA0">
                  <w:pPr>
                    <w:jc w:val="center"/>
                    <w:rPr>
                      <w:rFonts w:ascii="Calibri" w:hAnsi="Calibri" w:cs="Arial"/>
                    </w:rPr>
                  </w:pPr>
                  <w:r w:rsidRPr="001B2DA0">
                    <w:rPr>
                      <w:rFonts w:ascii="Calibri" w:hAnsi="Calibri" w:cs="Arial"/>
                    </w:rPr>
                    <w:t>within 160 days</w:t>
                  </w:r>
                </w:p>
              </w:tc>
              <w:tc>
                <w:tcPr>
                  <w:tcW w:w="2147"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25%</w:t>
                  </w:r>
                </w:p>
                <w:p w:rsidR="00680252" w:rsidRPr="001B2DA0" w:rsidRDefault="00680252" w:rsidP="001B2DA0">
                  <w:pPr>
                    <w:jc w:val="center"/>
                    <w:rPr>
                      <w:rFonts w:ascii="Calibri" w:hAnsi="Calibri" w:cs="Arial"/>
                    </w:rPr>
                  </w:pPr>
                  <w:r w:rsidRPr="001B2DA0">
                    <w:rPr>
                      <w:rFonts w:ascii="Calibri" w:hAnsi="Calibri" w:cs="Arial"/>
                    </w:rPr>
                    <w:t>within 260 days</w:t>
                  </w:r>
                </w:p>
              </w:tc>
              <w:tc>
                <w:tcPr>
                  <w:tcW w:w="2148" w:type="dxa"/>
                  <w:shd w:val="clear" w:color="auto" w:fill="auto"/>
                </w:tcPr>
                <w:p w:rsidR="00680252" w:rsidRPr="001B2DA0" w:rsidRDefault="00680252" w:rsidP="001B2DA0">
                  <w:pPr>
                    <w:jc w:val="center"/>
                    <w:rPr>
                      <w:rFonts w:ascii="Calibri" w:hAnsi="Calibri" w:cs="Arial"/>
                    </w:rPr>
                  </w:pPr>
                  <w:r w:rsidRPr="001B2DA0">
                    <w:rPr>
                      <w:rFonts w:ascii="Calibri" w:hAnsi="Calibri" w:cs="Arial"/>
                    </w:rPr>
                    <w:t>25%</w:t>
                  </w:r>
                </w:p>
                <w:p w:rsidR="00680252" w:rsidRPr="001B2DA0" w:rsidRDefault="00680252" w:rsidP="001B2DA0">
                  <w:pPr>
                    <w:jc w:val="center"/>
                    <w:rPr>
                      <w:rFonts w:ascii="Calibri" w:hAnsi="Calibri" w:cs="Arial"/>
                    </w:rPr>
                  </w:pPr>
                  <w:r w:rsidRPr="001B2DA0">
                    <w:rPr>
                      <w:rFonts w:ascii="Calibri" w:hAnsi="Calibri" w:cs="Arial"/>
                    </w:rPr>
                    <w:t>within 360 days</w:t>
                  </w:r>
                </w:p>
              </w:tc>
            </w:tr>
          </w:tbl>
          <w:p w:rsidR="00F35A8D" w:rsidRDefault="00F35A8D" w:rsidP="00A74976">
            <w:pPr>
              <w:numPr>
                <w:ilvl w:val="0"/>
                <w:numId w:val="13"/>
              </w:numPr>
              <w:spacing w:before="120" w:after="120"/>
              <w:rPr>
                <w:rFonts w:ascii="Calibri" w:hAnsi="Calibri" w:cs="Arial"/>
              </w:rPr>
            </w:pPr>
            <w:r>
              <w:rPr>
                <w:rFonts w:ascii="Calibri" w:hAnsi="Calibri" w:cs="Arial"/>
              </w:rPr>
              <w:t xml:space="preserve"> Where the chargeable amount is over £2 million, the chargeable amount will be required as per the following four instalments:</w:t>
            </w:r>
          </w:p>
          <w:tbl>
            <w:tblPr>
              <w:tblW w:w="0" w:type="auto"/>
              <w:tblBorders>
                <w:top w:val="single" w:sz="12" w:space="0" w:color="auto"/>
                <w:bottom w:val="single" w:sz="12" w:space="0" w:color="auto"/>
                <w:insideH w:val="single" w:sz="2" w:space="0" w:color="auto"/>
                <w:insideV w:val="single" w:sz="2" w:space="0" w:color="auto"/>
              </w:tblBorders>
              <w:tblLook w:val="01E0" w:firstRow="1" w:lastRow="1" w:firstColumn="1" w:lastColumn="1" w:noHBand="0" w:noVBand="0"/>
            </w:tblPr>
            <w:tblGrid>
              <w:gridCol w:w="2147"/>
              <w:gridCol w:w="2147"/>
              <w:gridCol w:w="2147"/>
              <w:gridCol w:w="2148"/>
            </w:tblGrid>
            <w:tr w:rsidR="00F35A8D" w:rsidRPr="001B2DA0" w:rsidTr="00407905">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1</w:t>
                  </w:r>
                  <w:r w:rsidRPr="001B2DA0">
                    <w:rPr>
                      <w:rFonts w:ascii="Calibri" w:hAnsi="Calibri" w:cs="Arial"/>
                      <w:vertAlign w:val="superscript"/>
                    </w:rPr>
                    <w:t>st</w:t>
                  </w:r>
                  <w:r w:rsidRPr="001B2DA0">
                    <w:rPr>
                      <w:rFonts w:ascii="Calibri" w:hAnsi="Calibri" w:cs="Arial"/>
                    </w:rPr>
                    <w:t xml:space="preserve">  instalment</w:t>
                  </w:r>
                </w:p>
              </w:tc>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2</w:t>
                  </w:r>
                  <w:r w:rsidRPr="001B2DA0">
                    <w:rPr>
                      <w:rFonts w:ascii="Calibri" w:hAnsi="Calibri" w:cs="Arial"/>
                      <w:vertAlign w:val="superscript"/>
                    </w:rPr>
                    <w:t>nd</w:t>
                  </w:r>
                  <w:r w:rsidRPr="001B2DA0">
                    <w:rPr>
                      <w:rFonts w:ascii="Calibri" w:hAnsi="Calibri" w:cs="Arial"/>
                    </w:rPr>
                    <w:t xml:space="preserve">  instalment</w:t>
                  </w:r>
                </w:p>
              </w:tc>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3</w:t>
                  </w:r>
                  <w:r w:rsidRPr="001B2DA0">
                    <w:rPr>
                      <w:rFonts w:ascii="Calibri" w:hAnsi="Calibri" w:cs="Arial"/>
                      <w:vertAlign w:val="superscript"/>
                    </w:rPr>
                    <w:t>rd</w:t>
                  </w:r>
                  <w:r w:rsidRPr="001B2DA0">
                    <w:rPr>
                      <w:rFonts w:ascii="Calibri" w:hAnsi="Calibri" w:cs="Arial"/>
                    </w:rPr>
                    <w:t xml:space="preserve">  instalment</w:t>
                  </w:r>
                </w:p>
              </w:tc>
              <w:tc>
                <w:tcPr>
                  <w:tcW w:w="2148"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4</w:t>
                  </w:r>
                  <w:r w:rsidRPr="001B2DA0">
                    <w:rPr>
                      <w:rFonts w:ascii="Calibri" w:hAnsi="Calibri" w:cs="Arial"/>
                      <w:vertAlign w:val="superscript"/>
                    </w:rPr>
                    <w:t>th</w:t>
                  </w:r>
                  <w:r w:rsidRPr="001B2DA0">
                    <w:rPr>
                      <w:rFonts w:ascii="Calibri" w:hAnsi="Calibri" w:cs="Arial"/>
                    </w:rPr>
                    <w:t xml:space="preserve">  instalment</w:t>
                  </w:r>
                </w:p>
              </w:tc>
            </w:tr>
            <w:tr w:rsidR="00F35A8D" w:rsidRPr="001B2DA0" w:rsidTr="00407905">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25%</w:t>
                  </w:r>
                </w:p>
                <w:p w:rsidR="00F35A8D" w:rsidRPr="001B2DA0" w:rsidRDefault="00F35A8D" w:rsidP="001B2DA0">
                  <w:pPr>
                    <w:jc w:val="center"/>
                    <w:rPr>
                      <w:rFonts w:ascii="Calibri" w:hAnsi="Calibri" w:cs="Arial"/>
                    </w:rPr>
                  </w:pPr>
                  <w:r w:rsidRPr="001B2DA0">
                    <w:rPr>
                      <w:rFonts w:ascii="Calibri" w:hAnsi="Calibri" w:cs="Arial"/>
                    </w:rPr>
                    <w:t>within 60 days</w:t>
                  </w:r>
                </w:p>
              </w:tc>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25%</w:t>
                  </w:r>
                </w:p>
                <w:p w:rsidR="00F35A8D" w:rsidRPr="001B2DA0" w:rsidRDefault="00F35A8D" w:rsidP="001B2DA0">
                  <w:pPr>
                    <w:jc w:val="center"/>
                    <w:rPr>
                      <w:rFonts w:ascii="Calibri" w:hAnsi="Calibri" w:cs="Arial"/>
                    </w:rPr>
                  </w:pPr>
                  <w:r w:rsidRPr="001B2DA0">
                    <w:rPr>
                      <w:rFonts w:ascii="Calibri" w:hAnsi="Calibri" w:cs="Arial"/>
                    </w:rPr>
                    <w:t>By end of year 1</w:t>
                  </w:r>
                </w:p>
              </w:tc>
              <w:tc>
                <w:tcPr>
                  <w:tcW w:w="2147"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25%</w:t>
                  </w:r>
                </w:p>
                <w:p w:rsidR="00F35A8D" w:rsidRPr="001B2DA0" w:rsidRDefault="00F35A8D" w:rsidP="001B2DA0">
                  <w:pPr>
                    <w:jc w:val="center"/>
                    <w:rPr>
                      <w:rFonts w:ascii="Calibri" w:hAnsi="Calibri" w:cs="Arial"/>
                    </w:rPr>
                  </w:pPr>
                  <w:r w:rsidRPr="001B2DA0">
                    <w:rPr>
                      <w:rFonts w:ascii="Calibri" w:hAnsi="Calibri" w:cs="Arial"/>
                    </w:rPr>
                    <w:t>By end of year 2</w:t>
                  </w:r>
                </w:p>
              </w:tc>
              <w:tc>
                <w:tcPr>
                  <w:tcW w:w="2148" w:type="dxa"/>
                  <w:shd w:val="clear" w:color="auto" w:fill="auto"/>
                </w:tcPr>
                <w:p w:rsidR="00F35A8D" w:rsidRPr="001B2DA0" w:rsidRDefault="00F35A8D" w:rsidP="001B2DA0">
                  <w:pPr>
                    <w:jc w:val="center"/>
                    <w:rPr>
                      <w:rFonts w:ascii="Calibri" w:hAnsi="Calibri" w:cs="Arial"/>
                    </w:rPr>
                  </w:pPr>
                  <w:r w:rsidRPr="001B2DA0">
                    <w:rPr>
                      <w:rFonts w:ascii="Calibri" w:hAnsi="Calibri" w:cs="Arial"/>
                    </w:rPr>
                    <w:t>25%</w:t>
                  </w:r>
                </w:p>
                <w:p w:rsidR="00F35A8D" w:rsidRPr="001B2DA0" w:rsidRDefault="00F35A8D" w:rsidP="001B2DA0">
                  <w:pPr>
                    <w:jc w:val="center"/>
                    <w:rPr>
                      <w:rFonts w:ascii="Calibri" w:hAnsi="Calibri" w:cs="Arial"/>
                    </w:rPr>
                  </w:pPr>
                  <w:r w:rsidRPr="001B2DA0">
                    <w:rPr>
                      <w:rFonts w:ascii="Calibri" w:hAnsi="Calibri" w:cs="Arial"/>
                    </w:rPr>
                    <w:t>By end of year 3</w:t>
                  </w:r>
                </w:p>
              </w:tc>
            </w:tr>
          </w:tbl>
          <w:p w:rsidR="00680252" w:rsidRPr="003F7D52" w:rsidRDefault="00680252" w:rsidP="002D2612">
            <w:pPr>
              <w:spacing w:before="120" w:after="120"/>
              <w:rPr>
                <w:rFonts w:ascii="Calibri" w:hAnsi="Calibri" w:cs="Arial"/>
              </w:rPr>
            </w:pPr>
            <w:r w:rsidRPr="003F7D52">
              <w:rPr>
                <w:rFonts w:ascii="Calibri" w:hAnsi="Calibri" w:cs="Arial"/>
              </w:rPr>
              <w:t xml:space="preserve">Commencement will be taken to be the date advised by the developer in the commencement notice under CIL </w:t>
            </w:r>
            <w:r w:rsidR="009D0B48">
              <w:rPr>
                <w:rFonts w:ascii="Calibri" w:hAnsi="Calibri" w:cs="Arial"/>
              </w:rPr>
              <w:t>r</w:t>
            </w:r>
            <w:r w:rsidRPr="009D0B48">
              <w:rPr>
                <w:rFonts w:ascii="Calibri" w:hAnsi="Calibri" w:cs="Arial"/>
              </w:rPr>
              <w:t>egulation 67.</w:t>
            </w:r>
          </w:p>
          <w:p w:rsidR="00680252" w:rsidRPr="002A6278" w:rsidRDefault="00680252" w:rsidP="002D2612">
            <w:pPr>
              <w:spacing w:after="120"/>
              <w:rPr>
                <w:rFonts w:ascii="Calibri" w:hAnsi="Calibri" w:cs="Arial"/>
                <w:b/>
              </w:rPr>
            </w:pPr>
            <w:r w:rsidRPr="002A6278">
              <w:rPr>
                <w:rFonts w:ascii="Calibri" w:hAnsi="Calibri" w:cs="Arial"/>
                <w:b/>
              </w:rPr>
              <w:t>Notes</w:t>
            </w:r>
            <w:r w:rsidR="00A26B1D">
              <w:rPr>
                <w:rFonts w:ascii="Calibri" w:hAnsi="Calibri" w:cs="Arial"/>
                <w:b/>
              </w:rPr>
              <w:t>:</w:t>
            </w:r>
          </w:p>
          <w:p w:rsidR="00680252" w:rsidRPr="002A6278" w:rsidRDefault="00680252" w:rsidP="002D2612">
            <w:pPr>
              <w:spacing w:after="120"/>
              <w:rPr>
                <w:rFonts w:ascii="Calibri" w:hAnsi="Calibri" w:cs="Arial"/>
              </w:rPr>
            </w:pPr>
            <w:r w:rsidRPr="002A6278">
              <w:rPr>
                <w:rFonts w:ascii="Calibri" w:hAnsi="Calibri" w:cs="Arial"/>
              </w:rPr>
              <w:t>N1: When the City Council grants an outline planning permission which permits development to be implemented in phases, each phase of development is a separate chargeable development and the instalment policy will apply to each separate phase.</w:t>
            </w:r>
          </w:p>
          <w:p w:rsidR="00680252" w:rsidRPr="002A6278" w:rsidRDefault="00680252" w:rsidP="002D2612">
            <w:pPr>
              <w:spacing w:after="120"/>
              <w:rPr>
                <w:rFonts w:ascii="Calibri" w:hAnsi="Calibri" w:cs="Arial"/>
              </w:rPr>
            </w:pPr>
            <w:r w:rsidRPr="002A6278">
              <w:rPr>
                <w:rFonts w:ascii="Calibri" w:hAnsi="Calibri" w:cs="Arial"/>
              </w:rPr>
              <w:t>N2: This policy will not apply if:</w:t>
            </w:r>
          </w:p>
          <w:p w:rsidR="00680252" w:rsidRPr="002A6278" w:rsidRDefault="00680252" w:rsidP="00A74976">
            <w:pPr>
              <w:numPr>
                <w:ilvl w:val="0"/>
                <w:numId w:val="14"/>
              </w:numPr>
              <w:ind w:left="714" w:hanging="357"/>
              <w:rPr>
                <w:rFonts w:ascii="Calibri" w:hAnsi="Calibri" w:cs="Arial"/>
              </w:rPr>
            </w:pPr>
            <w:r w:rsidRPr="002A6278">
              <w:rPr>
                <w:rFonts w:ascii="Calibri" w:hAnsi="Calibri" w:cs="Arial"/>
              </w:rPr>
              <w:t>A commencement notice is not submitted prior to commencement of the chargeable development</w:t>
            </w:r>
          </w:p>
          <w:p w:rsidR="00680252" w:rsidRPr="002A6278" w:rsidRDefault="00680252" w:rsidP="00A74976">
            <w:pPr>
              <w:numPr>
                <w:ilvl w:val="0"/>
                <w:numId w:val="14"/>
              </w:numPr>
              <w:ind w:left="714" w:hanging="357"/>
              <w:rPr>
                <w:rFonts w:ascii="Calibri" w:hAnsi="Calibri" w:cs="Arial"/>
              </w:rPr>
            </w:pPr>
            <w:r w:rsidRPr="002A6278">
              <w:rPr>
                <w:rFonts w:ascii="Calibri" w:hAnsi="Calibri" w:cs="Arial"/>
              </w:rPr>
              <w:t>Nobody has assumed liability to pay CIL in respect of the chargeable development prior to the intended day of commencement</w:t>
            </w:r>
          </w:p>
          <w:p w:rsidR="00680252" w:rsidRPr="002A6278" w:rsidRDefault="00680252" w:rsidP="00A74976">
            <w:pPr>
              <w:numPr>
                <w:ilvl w:val="0"/>
                <w:numId w:val="14"/>
              </w:numPr>
              <w:ind w:left="714" w:hanging="357"/>
              <w:rPr>
                <w:rFonts w:ascii="Calibri" w:hAnsi="Calibri" w:cs="Arial"/>
              </w:rPr>
            </w:pPr>
            <w:r w:rsidRPr="002A6278">
              <w:rPr>
                <w:rFonts w:ascii="Calibri" w:hAnsi="Calibri" w:cs="Arial"/>
              </w:rPr>
              <w:t>Failure to notify the City Council of a disqualifying event before the end of 14 days beginning with the day the disqualifying event occurs</w:t>
            </w:r>
          </w:p>
          <w:p w:rsidR="00680252" w:rsidRPr="003F7D52" w:rsidRDefault="00680252" w:rsidP="00A74976">
            <w:pPr>
              <w:numPr>
                <w:ilvl w:val="0"/>
                <w:numId w:val="14"/>
              </w:numPr>
              <w:ind w:left="714" w:hanging="357"/>
              <w:rPr>
                <w:rFonts w:ascii="Calibri" w:hAnsi="Calibri" w:cs="Arial"/>
                <w:b/>
                <w:color w:val="0000FF"/>
              </w:rPr>
            </w:pPr>
            <w:r w:rsidRPr="002A6278">
              <w:rPr>
                <w:rFonts w:ascii="Calibri" w:hAnsi="Calibri" w:cs="Arial"/>
              </w:rPr>
              <w:t>An instalment payment has not been made in full after the end of the period of</w:t>
            </w:r>
            <w:r w:rsidRPr="003F7D52">
              <w:rPr>
                <w:rFonts w:ascii="Calibri" w:hAnsi="Calibri" w:cs="Arial"/>
              </w:rPr>
              <w:t xml:space="preserve"> 30 days beginning with the day on which the instalment payment was due</w:t>
            </w:r>
            <w:r w:rsidR="00AD51EA">
              <w:rPr>
                <w:rFonts w:ascii="Calibri" w:hAnsi="Calibri" w:cs="Arial"/>
              </w:rPr>
              <w:t>.</w:t>
            </w:r>
          </w:p>
        </w:tc>
      </w:tr>
    </w:tbl>
    <w:p w:rsidR="00700E4D" w:rsidRDefault="00700E4D" w:rsidP="00AD51EA"/>
    <w:sectPr w:rsidR="00700E4D" w:rsidSect="002B60F6">
      <w:pgSz w:w="11906" w:h="16838"/>
      <w:pgMar w:top="1440" w:right="1106" w:bottom="1134" w:left="16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4D" w:rsidRDefault="005C544D">
      <w:r>
        <w:separator/>
      </w:r>
    </w:p>
  </w:endnote>
  <w:endnote w:type="continuationSeparator" w:id="0">
    <w:p w:rsidR="005C544D" w:rsidRDefault="005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1C" w:rsidRDefault="00427A1C" w:rsidP="006D3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A1C" w:rsidRDefault="00427A1C" w:rsidP="006D3F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1C" w:rsidRPr="006D3F72" w:rsidRDefault="00427A1C" w:rsidP="006D3F72">
    <w:pPr>
      <w:pStyle w:val="Footer"/>
      <w:framePr w:wrap="around" w:vAnchor="text" w:hAnchor="page" w:x="10078" w:y="-520"/>
      <w:rPr>
        <w:rStyle w:val="PageNumber"/>
        <w:rFonts w:ascii="Calibri" w:hAnsi="Calibri"/>
        <w:b/>
        <w:sz w:val="22"/>
        <w:szCs w:val="22"/>
      </w:rPr>
    </w:pPr>
    <w:r w:rsidRPr="006D3F72">
      <w:rPr>
        <w:rStyle w:val="PageNumber"/>
        <w:rFonts w:ascii="Calibri" w:hAnsi="Calibri"/>
        <w:b/>
        <w:sz w:val="22"/>
        <w:szCs w:val="22"/>
      </w:rPr>
      <w:fldChar w:fldCharType="begin"/>
    </w:r>
    <w:r w:rsidRPr="006D3F72">
      <w:rPr>
        <w:rStyle w:val="PageNumber"/>
        <w:rFonts w:ascii="Calibri" w:hAnsi="Calibri"/>
        <w:b/>
        <w:sz w:val="22"/>
        <w:szCs w:val="22"/>
      </w:rPr>
      <w:instrText xml:space="preserve">PAGE  </w:instrText>
    </w:r>
    <w:r w:rsidRPr="006D3F72">
      <w:rPr>
        <w:rStyle w:val="PageNumber"/>
        <w:rFonts w:ascii="Calibri" w:hAnsi="Calibri"/>
        <w:b/>
        <w:sz w:val="22"/>
        <w:szCs w:val="22"/>
      </w:rPr>
      <w:fldChar w:fldCharType="separate"/>
    </w:r>
    <w:r w:rsidR="004B2A08">
      <w:rPr>
        <w:rStyle w:val="PageNumber"/>
        <w:rFonts w:ascii="Calibri" w:hAnsi="Calibri"/>
        <w:b/>
        <w:noProof/>
        <w:sz w:val="22"/>
        <w:szCs w:val="22"/>
      </w:rPr>
      <w:t>2</w:t>
    </w:r>
    <w:r w:rsidRPr="006D3F72">
      <w:rPr>
        <w:rStyle w:val="PageNumber"/>
        <w:rFonts w:ascii="Calibri" w:hAnsi="Calibri"/>
        <w:b/>
        <w:sz w:val="22"/>
        <w:szCs w:val="22"/>
      </w:rPr>
      <w:fldChar w:fldCharType="end"/>
    </w:r>
  </w:p>
  <w:p w:rsidR="00427A1C" w:rsidRDefault="00427A1C" w:rsidP="006D3F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4D" w:rsidRDefault="005C544D">
      <w:r>
        <w:separator/>
      </w:r>
    </w:p>
  </w:footnote>
  <w:footnote w:type="continuationSeparator" w:id="0">
    <w:p w:rsidR="005C544D" w:rsidRDefault="005C544D">
      <w:r>
        <w:continuationSeparator/>
      </w:r>
    </w:p>
  </w:footnote>
  <w:footnote w:id="1">
    <w:p w:rsidR="00427A1C" w:rsidRPr="003528BD" w:rsidRDefault="00427A1C" w:rsidP="00621B0F">
      <w:pPr>
        <w:pStyle w:val="FootnoteText"/>
        <w:rPr>
          <w:rFonts w:ascii="Calibri" w:hAnsi="Calibri" w:cs="Arial"/>
        </w:rPr>
      </w:pPr>
      <w:r w:rsidRPr="003528BD">
        <w:rPr>
          <w:rStyle w:val="FootnoteReference"/>
          <w:rFonts w:ascii="Calibri" w:hAnsi="Calibri" w:cs="Arial"/>
        </w:rPr>
        <w:footnoteRef/>
      </w:r>
      <w:r w:rsidRPr="003528BD">
        <w:rPr>
          <w:rFonts w:ascii="Calibri" w:hAnsi="Calibri" w:cs="Arial"/>
        </w:rPr>
        <w:t xml:space="preserve"> Regulations 5 and 9 of the Community Infrastructure Levy Regulations 2010 as amended </w:t>
      </w:r>
    </w:p>
  </w:footnote>
  <w:footnote w:id="2">
    <w:p w:rsidR="00427A1C" w:rsidRPr="003528BD" w:rsidRDefault="00427A1C" w:rsidP="00621B0F">
      <w:pPr>
        <w:pStyle w:val="FootnoteText"/>
        <w:rPr>
          <w:rFonts w:ascii="Arial" w:hAnsi="Arial" w:cs="Arial"/>
        </w:rPr>
      </w:pPr>
      <w:r w:rsidRPr="003528BD">
        <w:rPr>
          <w:rStyle w:val="FootnoteReference"/>
          <w:rFonts w:ascii="Calibri" w:hAnsi="Calibri" w:cs="Arial"/>
        </w:rPr>
        <w:footnoteRef/>
      </w:r>
      <w:r w:rsidRPr="003528BD">
        <w:rPr>
          <w:rFonts w:ascii="Calibri" w:hAnsi="Calibri" w:cs="Arial"/>
        </w:rPr>
        <w:t xml:space="preserve"> Regulation 6 (2) of the Community Infrastructure Levy Regulations 2010 as amended</w:t>
      </w:r>
    </w:p>
  </w:footnote>
  <w:footnote w:id="3">
    <w:p w:rsidR="00C7785F" w:rsidRPr="00C7785F" w:rsidRDefault="00427A1C">
      <w:pPr>
        <w:pStyle w:val="FootnoteText"/>
        <w:rPr>
          <w:rFonts w:ascii="Calibri" w:hAnsi="Calibri"/>
        </w:rPr>
      </w:pPr>
      <w:r w:rsidRPr="00C7785F">
        <w:rPr>
          <w:rStyle w:val="FootnoteReference"/>
          <w:rFonts w:ascii="Calibri" w:hAnsi="Calibri"/>
        </w:rPr>
        <w:footnoteRef/>
      </w:r>
      <w:r w:rsidR="00C7785F" w:rsidRPr="00C7785F">
        <w:rPr>
          <w:rFonts w:ascii="Calibri" w:hAnsi="Calibri"/>
        </w:rPr>
        <w:t xml:space="preserve"> Regulation 42A and 54A of the Community Infrastructure Levy (Amendment) Regulations 2014 </w:t>
      </w:r>
    </w:p>
    <w:p w:rsidR="00427A1C" w:rsidRPr="00397D09" w:rsidRDefault="00427A1C">
      <w:pPr>
        <w:pStyle w:val="FootnoteText"/>
        <w:rPr>
          <w:rFonts w:ascii="Calibri" w:hAnsi="Calibri"/>
        </w:rPr>
      </w:pPr>
    </w:p>
  </w:footnote>
  <w:footnote w:id="4">
    <w:p w:rsidR="00427A1C" w:rsidRPr="00B90692" w:rsidRDefault="00427A1C" w:rsidP="00621B0F">
      <w:pPr>
        <w:rPr>
          <w:rFonts w:ascii="Calibri" w:hAnsi="Calibri" w:cs="Arial"/>
          <w:sz w:val="20"/>
          <w:szCs w:val="20"/>
        </w:rPr>
      </w:pPr>
      <w:r w:rsidRPr="00B90692">
        <w:rPr>
          <w:rStyle w:val="FootnoteReference"/>
          <w:rFonts w:ascii="Calibri" w:hAnsi="Calibri" w:cs="Arial"/>
          <w:sz w:val="20"/>
          <w:szCs w:val="20"/>
        </w:rPr>
        <w:footnoteRef/>
      </w:r>
      <w:r w:rsidRPr="00B90692">
        <w:rPr>
          <w:rFonts w:ascii="Calibri" w:hAnsi="Calibri" w:cs="Arial"/>
          <w:sz w:val="20"/>
          <w:szCs w:val="20"/>
        </w:rPr>
        <w:t xml:space="preserve"> </w:t>
      </w:r>
      <w:r w:rsidRPr="00B90692">
        <w:rPr>
          <w:rFonts w:ascii="Calibri" w:hAnsi="Calibri" w:cs="Arial"/>
          <w:i/>
          <w:sz w:val="20"/>
          <w:szCs w:val="20"/>
        </w:rPr>
        <w:t>‘</w:t>
      </w:r>
      <w:r w:rsidR="00375291">
        <w:rPr>
          <w:rFonts w:ascii="Calibri" w:hAnsi="Calibri" w:cs="Arial"/>
          <w:i/>
          <w:sz w:val="20"/>
          <w:szCs w:val="20"/>
        </w:rPr>
        <w:t>in-use building’ means a building which (</w:t>
      </w:r>
      <w:proofErr w:type="spellStart"/>
      <w:r w:rsidR="00375291">
        <w:rPr>
          <w:rFonts w:ascii="Calibri" w:hAnsi="Calibri" w:cs="Arial"/>
          <w:i/>
          <w:sz w:val="20"/>
          <w:szCs w:val="20"/>
        </w:rPr>
        <w:t>i</w:t>
      </w:r>
      <w:proofErr w:type="spellEnd"/>
      <w:r w:rsidR="00375291">
        <w:rPr>
          <w:rFonts w:ascii="Calibri" w:hAnsi="Calibri" w:cs="Arial"/>
          <w:i/>
          <w:sz w:val="20"/>
          <w:szCs w:val="20"/>
        </w:rPr>
        <w:t>) is a relevant building and (ii) contains a part</w:t>
      </w:r>
      <w:r w:rsidRPr="00B90692">
        <w:rPr>
          <w:rFonts w:ascii="Calibri" w:hAnsi="Calibri" w:cs="Arial"/>
          <w:i/>
          <w:sz w:val="20"/>
          <w:szCs w:val="20"/>
        </w:rPr>
        <w:t xml:space="preserve"> that has been in use for a continuous period of at least six months within the period of </w:t>
      </w:r>
      <w:r w:rsidR="00375291">
        <w:rPr>
          <w:rFonts w:ascii="Calibri" w:hAnsi="Calibri" w:cs="Arial"/>
          <w:i/>
          <w:sz w:val="20"/>
          <w:szCs w:val="20"/>
        </w:rPr>
        <w:t>three years</w:t>
      </w:r>
      <w:r w:rsidRPr="00B90692">
        <w:rPr>
          <w:rFonts w:ascii="Calibri" w:hAnsi="Calibri" w:cs="Arial"/>
          <w:i/>
          <w:sz w:val="20"/>
          <w:szCs w:val="20"/>
        </w:rPr>
        <w:t xml:space="preserve"> ending on the day planning permission first permits the chargeable </w:t>
      </w:r>
      <w:r w:rsidRPr="00FA73BE">
        <w:rPr>
          <w:rFonts w:ascii="Calibri" w:hAnsi="Calibri" w:cs="Arial"/>
          <w:i/>
          <w:sz w:val="20"/>
          <w:szCs w:val="20"/>
        </w:rPr>
        <w:t>development’</w:t>
      </w:r>
      <w:r w:rsidRPr="00FA73BE">
        <w:rPr>
          <w:rFonts w:ascii="Calibri" w:hAnsi="Calibri" w:cs="Arial"/>
          <w:sz w:val="20"/>
          <w:szCs w:val="20"/>
        </w:rPr>
        <w:t xml:space="preserve"> (Regulation 40(1</w:t>
      </w:r>
      <w:r w:rsidR="00375291">
        <w:rPr>
          <w:rFonts w:ascii="Calibri" w:hAnsi="Calibri" w:cs="Arial"/>
          <w:sz w:val="20"/>
          <w:szCs w:val="20"/>
        </w:rPr>
        <w:t>1</w:t>
      </w:r>
      <w:r w:rsidRPr="00FA73BE">
        <w:rPr>
          <w:rFonts w:ascii="Calibri" w:hAnsi="Calibri" w:cs="Arial"/>
          <w:sz w:val="20"/>
          <w:szCs w:val="20"/>
        </w:rPr>
        <w:t>) of the Community Infrastructure Levy Regulations 2010</w:t>
      </w:r>
      <w:r w:rsidR="00375291">
        <w:rPr>
          <w:rFonts w:ascii="Calibri" w:hAnsi="Calibri" w:cs="Arial"/>
          <w:sz w:val="20"/>
          <w:szCs w:val="20"/>
        </w:rPr>
        <w:t xml:space="preserve"> (as amended</w:t>
      </w:r>
      <w:r w:rsidRPr="00FA73BE">
        <w:rPr>
          <w:rFonts w:ascii="Calibri" w:hAnsi="Calibri" w:cs="Arial"/>
          <w:sz w:val="20"/>
          <w:szCs w:val="20"/>
        </w:rPr>
        <w:t>)</w:t>
      </w:r>
    </w:p>
  </w:footnote>
  <w:footnote w:id="5">
    <w:p w:rsidR="00427A1C" w:rsidRPr="00541146" w:rsidRDefault="00427A1C">
      <w:pPr>
        <w:pStyle w:val="FootnoteText"/>
        <w:rPr>
          <w:rFonts w:ascii="Calibri" w:hAnsi="Calibri" w:cs="Arial"/>
        </w:rPr>
      </w:pPr>
      <w:r w:rsidRPr="00541146">
        <w:rPr>
          <w:rStyle w:val="FootnoteReference"/>
          <w:rFonts w:ascii="Calibri" w:hAnsi="Calibri" w:cs="Arial"/>
        </w:rPr>
        <w:footnoteRef/>
      </w:r>
      <w:r w:rsidRPr="00541146">
        <w:rPr>
          <w:rFonts w:ascii="Calibri" w:hAnsi="Calibri" w:cs="Arial"/>
        </w:rPr>
        <w:t xml:space="preserve"> Payments are due immediately where no party assumes liability and/or no commencement notice is submitted before commencement.</w:t>
      </w:r>
      <w:r>
        <w:rPr>
          <w:rFonts w:ascii="Calibri" w:hAnsi="Calibri" w:cs="Arial"/>
        </w:rPr>
        <w:t xml:space="preserve">  Where this occurs the developer does not get the benefit of payment by instalments.</w:t>
      </w:r>
    </w:p>
  </w:footnote>
  <w:footnote w:id="6">
    <w:p w:rsidR="00427A1C" w:rsidRPr="005052C7" w:rsidRDefault="00427A1C" w:rsidP="00621B0F">
      <w:pPr>
        <w:pStyle w:val="FootnoteText"/>
        <w:rPr>
          <w:rFonts w:ascii="Arial" w:hAnsi="Arial" w:cs="Arial"/>
        </w:rPr>
      </w:pPr>
      <w:r w:rsidRPr="00FA73BE">
        <w:rPr>
          <w:rStyle w:val="FootnoteReference"/>
          <w:rFonts w:ascii="Calibri" w:hAnsi="Calibri" w:cs="Arial"/>
        </w:rPr>
        <w:footnoteRef/>
      </w:r>
      <w:r w:rsidRPr="00FA73BE">
        <w:rPr>
          <w:rFonts w:ascii="Calibri" w:hAnsi="Calibri" w:cs="Arial"/>
        </w:rPr>
        <w:t xml:space="preserve"> Regulation 73</w:t>
      </w:r>
      <w:r w:rsidR="00FA73BE" w:rsidRPr="00FA73BE">
        <w:rPr>
          <w:rFonts w:ascii="Calibri" w:hAnsi="Calibri" w:cs="Arial"/>
        </w:rPr>
        <w:t xml:space="preserve"> (6</w:t>
      </w:r>
      <w:proofErr w:type="gramStart"/>
      <w:r w:rsidR="00FA73BE" w:rsidRPr="00FA73BE">
        <w:rPr>
          <w:rFonts w:ascii="Calibri" w:hAnsi="Calibri" w:cs="Arial"/>
        </w:rPr>
        <w:t>)(</w:t>
      </w:r>
      <w:proofErr w:type="gramEnd"/>
      <w:r w:rsidR="00FA73BE" w:rsidRPr="00FA73BE">
        <w:rPr>
          <w:rFonts w:ascii="Calibri" w:hAnsi="Calibri" w:cs="Arial"/>
        </w:rPr>
        <w:t>d)</w:t>
      </w:r>
      <w:r w:rsidRPr="00FA73BE">
        <w:rPr>
          <w:rFonts w:ascii="Calibri" w:hAnsi="Calibri" w:cs="Arial"/>
        </w:rPr>
        <w:t xml:space="preserve"> of the Community Infrastructure Levy Regulations 2010</w:t>
      </w:r>
      <w:r w:rsidR="00591CB2">
        <w:rPr>
          <w:rFonts w:ascii="Calibri" w:hAnsi="Calibri" w:cs="Arial"/>
        </w:rPr>
        <w:t xml:space="preserve"> </w:t>
      </w:r>
      <w:r w:rsidR="00591CB2" w:rsidRPr="00375291">
        <w:rPr>
          <w:rFonts w:ascii="Calibri" w:hAnsi="Calibri" w:cs="Arial"/>
        </w:rPr>
        <w:t>as amended.</w:t>
      </w:r>
    </w:p>
  </w:footnote>
  <w:footnote w:id="7">
    <w:p w:rsidR="00427A1C" w:rsidRPr="001B2DA0" w:rsidRDefault="00427A1C">
      <w:pPr>
        <w:pStyle w:val="FootnoteText"/>
        <w:rPr>
          <w:rFonts w:ascii="Calibri" w:hAnsi="Calibri" w:cs="Calibri"/>
        </w:rPr>
      </w:pPr>
      <w:r w:rsidRPr="001B2DA0">
        <w:rPr>
          <w:rStyle w:val="FootnoteReference"/>
          <w:rFonts w:ascii="Calibri" w:hAnsi="Calibri" w:cs="Calibri"/>
        </w:rPr>
        <w:footnoteRef/>
      </w:r>
      <w:r w:rsidRPr="001B2DA0">
        <w:rPr>
          <w:rFonts w:ascii="Calibri" w:hAnsi="Calibri" w:cs="Calibri"/>
        </w:rPr>
        <w:t xml:space="preserve"> Set out in Regulation 59A of the </w:t>
      </w:r>
      <w:r w:rsidRPr="00B90692">
        <w:rPr>
          <w:rFonts w:ascii="Calibri" w:hAnsi="Calibri" w:cs="Arial"/>
        </w:rPr>
        <w:t xml:space="preserve">Community Infrastructure Levy </w:t>
      </w:r>
      <w:r w:rsidR="00CE2840">
        <w:rPr>
          <w:rFonts w:ascii="Calibri" w:hAnsi="Calibri" w:cs="Arial"/>
        </w:rPr>
        <w:t xml:space="preserve">(Amendment) </w:t>
      </w:r>
      <w:r w:rsidRPr="00B90692">
        <w:rPr>
          <w:rFonts w:ascii="Calibri" w:hAnsi="Calibri" w:cs="Arial"/>
        </w:rPr>
        <w:t>Regulations 201</w:t>
      </w:r>
      <w:r>
        <w:rPr>
          <w:rFonts w:ascii="Calibri" w:hAnsi="Calibri" w:cs="Arial"/>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47F"/>
    <w:multiLevelType w:val="hybridMultilevel"/>
    <w:tmpl w:val="436E6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BF20FC"/>
    <w:multiLevelType w:val="hybridMultilevel"/>
    <w:tmpl w:val="813C7E36"/>
    <w:lvl w:ilvl="0" w:tplc="717058BE">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nsid w:val="065F1359"/>
    <w:multiLevelType w:val="hybridMultilevel"/>
    <w:tmpl w:val="2D2EA8E6"/>
    <w:lvl w:ilvl="0" w:tplc="0594735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07267365"/>
    <w:multiLevelType w:val="hybridMultilevel"/>
    <w:tmpl w:val="D576C51C"/>
    <w:lvl w:ilvl="0" w:tplc="5984B7A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09AC4E69"/>
    <w:multiLevelType w:val="hybridMultilevel"/>
    <w:tmpl w:val="91FE470C"/>
    <w:lvl w:ilvl="0" w:tplc="06123798">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D00546"/>
    <w:multiLevelType w:val="hybridMultilevel"/>
    <w:tmpl w:val="ADDC5C74"/>
    <w:lvl w:ilvl="0" w:tplc="6A0EFC6E">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C63E53"/>
    <w:multiLevelType w:val="hybridMultilevel"/>
    <w:tmpl w:val="28186E1E"/>
    <w:lvl w:ilvl="0" w:tplc="FFF02C4E">
      <w:start w:val="1"/>
      <w:numFmt w:val="bullet"/>
      <w:lvlText w:val=""/>
      <w:lvlJc w:val="left"/>
      <w:pPr>
        <w:tabs>
          <w:tab w:val="num" w:pos="540"/>
        </w:tabs>
        <w:ind w:left="540" w:hanging="360"/>
      </w:pPr>
      <w:rPr>
        <w:rFonts w:ascii="Symbol" w:hAnsi="Symbol" w:hint="default"/>
        <w:color w:val="0000FF"/>
      </w:rPr>
    </w:lvl>
    <w:lvl w:ilvl="1" w:tplc="0F9C513C">
      <w:start w:val="1"/>
      <w:numFmt w:val="bullet"/>
      <w:lvlText w:val="o"/>
      <w:lvlJc w:val="left"/>
      <w:pPr>
        <w:tabs>
          <w:tab w:val="num" w:pos="1440"/>
        </w:tabs>
        <w:ind w:left="1440" w:hanging="360"/>
      </w:pPr>
      <w:rPr>
        <w:rFonts w:ascii="Courier New" w:hAnsi="Courier New" w:hint="default"/>
        <w:color w:val="007373"/>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270949"/>
    <w:multiLevelType w:val="hybridMultilevel"/>
    <w:tmpl w:val="3580F190"/>
    <w:lvl w:ilvl="0" w:tplc="A4F6F566">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7A2663"/>
    <w:multiLevelType w:val="multilevel"/>
    <w:tmpl w:val="961C547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A768F0"/>
    <w:multiLevelType w:val="hybridMultilevel"/>
    <w:tmpl w:val="578AA2DC"/>
    <w:lvl w:ilvl="0" w:tplc="3F32D72A">
      <w:start w:val="1"/>
      <w:numFmt w:val="bullet"/>
      <w:lvlText w:val=""/>
      <w:lvlJc w:val="left"/>
      <w:pPr>
        <w:tabs>
          <w:tab w:val="num" w:pos="540"/>
        </w:tabs>
        <w:ind w:left="540" w:hanging="360"/>
      </w:pPr>
      <w:rPr>
        <w:rFonts w:ascii="Symbol" w:hAnsi="Symbol" w:hint="default"/>
        <w:color w:val="007373"/>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D30080"/>
    <w:multiLevelType w:val="hybridMultilevel"/>
    <w:tmpl w:val="DB9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A7376"/>
    <w:multiLevelType w:val="hybridMultilevel"/>
    <w:tmpl w:val="D07EEE90"/>
    <w:lvl w:ilvl="0" w:tplc="72F6B1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2EAE75E0"/>
    <w:multiLevelType w:val="hybridMultilevel"/>
    <w:tmpl w:val="6C2C51E2"/>
    <w:lvl w:ilvl="0" w:tplc="9C3E8B2E">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E155FF"/>
    <w:multiLevelType w:val="multilevel"/>
    <w:tmpl w:val="FE84C230"/>
    <w:lvl w:ilvl="0">
      <w:start w:val="1"/>
      <w:numFmt w:val="decimal"/>
      <w:lvlText w:val="%1"/>
      <w:lvlJc w:val="left"/>
      <w:pPr>
        <w:tabs>
          <w:tab w:val="num" w:pos="360"/>
        </w:tabs>
        <w:ind w:left="360" w:hanging="360"/>
      </w:pPr>
      <w:rPr>
        <w:rFonts w:hint="default"/>
        <w:b w:val="0"/>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31136A"/>
    <w:multiLevelType w:val="hybridMultilevel"/>
    <w:tmpl w:val="54A49FF6"/>
    <w:lvl w:ilvl="0" w:tplc="EEB8A07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A6170"/>
    <w:multiLevelType w:val="singleLevel"/>
    <w:tmpl w:val="0809000F"/>
    <w:lvl w:ilvl="0">
      <w:start w:val="1"/>
      <w:numFmt w:val="decimal"/>
      <w:lvlText w:val="%1."/>
      <w:lvlJc w:val="left"/>
      <w:pPr>
        <w:ind w:left="720" w:hanging="360"/>
      </w:pPr>
      <w:rPr>
        <w:rFonts w:hint="default"/>
      </w:rPr>
    </w:lvl>
  </w:abstractNum>
  <w:abstractNum w:abstractNumId="17">
    <w:nsid w:val="55532444"/>
    <w:multiLevelType w:val="hybridMultilevel"/>
    <w:tmpl w:val="DB6650B8"/>
    <w:lvl w:ilvl="0" w:tplc="1186B9C6">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4863E6"/>
    <w:multiLevelType w:val="hybridMultilevel"/>
    <w:tmpl w:val="15FCA194"/>
    <w:lvl w:ilvl="0" w:tplc="F4286B4E">
      <w:start w:val="1"/>
      <w:numFmt w:val="decimal"/>
      <w:lvlText w:val="(%1)"/>
      <w:lvlJc w:val="left"/>
      <w:pPr>
        <w:ind w:left="720" w:hanging="360"/>
      </w:pPr>
      <w:rPr>
        <w:rFonts w:cs="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D55852"/>
    <w:multiLevelType w:val="hybridMultilevel"/>
    <w:tmpl w:val="B8C05058"/>
    <w:lvl w:ilvl="0" w:tplc="A1AA9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F70A7B"/>
    <w:multiLevelType w:val="multilevel"/>
    <w:tmpl w:val="84C018E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DA1413"/>
    <w:multiLevelType w:val="hybridMultilevel"/>
    <w:tmpl w:val="FA10E2E4"/>
    <w:lvl w:ilvl="0" w:tplc="60E0DCB8">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nsid w:val="62FB134A"/>
    <w:multiLevelType w:val="hybridMultilevel"/>
    <w:tmpl w:val="E2545EBC"/>
    <w:lvl w:ilvl="0" w:tplc="BCD0FAD6">
      <w:start w:val="1"/>
      <w:numFmt w:val="bullet"/>
      <w:lvlText w:val=""/>
      <w:lvlJc w:val="left"/>
      <w:pPr>
        <w:tabs>
          <w:tab w:val="num" w:pos="540"/>
        </w:tabs>
        <w:ind w:left="540" w:hanging="360"/>
      </w:pPr>
      <w:rPr>
        <w:rFonts w:ascii="Symbol" w:hAnsi="Symbol" w:hint="default"/>
        <w:color w:val="00737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795208"/>
    <w:multiLevelType w:val="hybridMultilevel"/>
    <w:tmpl w:val="8586D310"/>
    <w:lvl w:ilvl="0" w:tplc="3282221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6CFB3A77"/>
    <w:multiLevelType w:val="hybridMultilevel"/>
    <w:tmpl w:val="C4407162"/>
    <w:lvl w:ilvl="0" w:tplc="421A2CDC">
      <w:start w:val="1"/>
      <w:numFmt w:val="lowerLetter"/>
      <w:lvlText w:val="%1)"/>
      <w:lvlJc w:val="left"/>
      <w:pPr>
        <w:tabs>
          <w:tab w:val="num" w:pos="720"/>
        </w:tabs>
        <w:ind w:left="720" w:hanging="360"/>
      </w:pPr>
      <w:rPr>
        <w:rFonts w:ascii="Calibri" w:hAnsi="Calibri"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E046264"/>
    <w:multiLevelType w:val="hybridMultilevel"/>
    <w:tmpl w:val="C18214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0886F78"/>
    <w:multiLevelType w:val="hybridMultilevel"/>
    <w:tmpl w:val="B7BC19B6"/>
    <w:lvl w:ilvl="0" w:tplc="DF846438">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7B054089"/>
    <w:multiLevelType w:val="hybridMultilevel"/>
    <w:tmpl w:val="E182BF22"/>
    <w:lvl w:ilvl="0" w:tplc="FE521F38">
      <w:start w:val="1"/>
      <w:numFmt w:val="bullet"/>
      <w:lvlText w:val=""/>
      <w:lvlJc w:val="left"/>
      <w:pPr>
        <w:tabs>
          <w:tab w:val="num" w:pos="0"/>
        </w:tabs>
        <w:ind w:left="0" w:hanging="360"/>
      </w:pPr>
      <w:rPr>
        <w:rFonts w:ascii="Symbol" w:hAnsi="Symbol" w:hint="default"/>
        <w:color w:val="007373"/>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nsid w:val="7C0B1720"/>
    <w:multiLevelType w:val="hybridMultilevel"/>
    <w:tmpl w:val="D2B286B8"/>
    <w:lvl w:ilvl="0" w:tplc="C420A07A">
      <w:start w:val="1"/>
      <w:numFmt w:val="lowerLetter"/>
      <w:lvlText w:val="%1)"/>
      <w:lvlJc w:val="left"/>
      <w:pPr>
        <w:tabs>
          <w:tab w:val="num" w:pos="540"/>
        </w:tabs>
        <w:ind w:left="540" w:hanging="360"/>
      </w:pPr>
      <w:rPr>
        <w:rFonts w:ascii="Calibri" w:eastAsia="Times New Roman" w:hAnsi="Calibri" w:cs="Arial"/>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27"/>
  </w:num>
  <w:num w:numId="4">
    <w:abstractNumId w:val="13"/>
  </w:num>
  <w:num w:numId="5">
    <w:abstractNumId w:val="7"/>
  </w:num>
  <w:num w:numId="6">
    <w:abstractNumId w:val="9"/>
  </w:num>
  <w:num w:numId="7">
    <w:abstractNumId w:val="6"/>
  </w:num>
  <w:num w:numId="8">
    <w:abstractNumId w:val="17"/>
  </w:num>
  <w:num w:numId="9">
    <w:abstractNumId w:val="12"/>
  </w:num>
  <w:num w:numId="10">
    <w:abstractNumId w:val="22"/>
  </w:num>
  <w:num w:numId="11">
    <w:abstractNumId w:val="4"/>
  </w:num>
  <w:num w:numId="12">
    <w:abstractNumId w:val="5"/>
  </w:num>
  <w:num w:numId="13">
    <w:abstractNumId w:val="0"/>
  </w:num>
  <w:num w:numId="14">
    <w:abstractNumId w:val="24"/>
  </w:num>
  <w:num w:numId="15">
    <w:abstractNumId w:val="23"/>
  </w:num>
  <w:num w:numId="16">
    <w:abstractNumId w:val="21"/>
  </w:num>
  <w:num w:numId="17">
    <w:abstractNumId w:val="2"/>
  </w:num>
  <w:num w:numId="18">
    <w:abstractNumId w:val="14"/>
  </w:num>
  <w:num w:numId="19">
    <w:abstractNumId w:val="3"/>
  </w:num>
  <w:num w:numId="20">
    <w:abstractNumId w:val="11"/>
  </w:num>
  <w:num w:numId="21">
    <w:abstractNumId w:val="26"/>
  </w:num>
  <w:num w:numId="22">
    <w:abstractNumId w:val="18"/>
  </w:num>
  <w:num w:numId="23">
    <w:abstractNumId w:val="16"/>
  </w:num>
  <w:num w:numId="24">
    <w:abstractNumId w:val="8"/>
  </w:num>
  <w:num w:numId="25">
    <w:abstractNumId w:val="25"/>
  </w:num>
  <w:num w:numId="26">
    <w:abstractNumId w:val="15"/>
  </w:num>
  <w:num w:numId="27">
    <w:abstractNumId w:val="20"/>
  </w:num>
  <w:num w:numId="28">
    <w:abstractNumId w:val="19"/>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154"/>
    <w:rsid w:val="00010A9F"/>
    <w:rsid w:val="000330B1"/>
    <w:rsid w:val="00035465"/>
    <w:rsid w:val="00035D4A"/>
    <w:rsid w:val="00037D83"/>
    <w:rsid w:val="0004280A"/>
    <w:rsid w:val="00050676"/>
    <w:rsid w:val="000544EF"/>
    <w:rsid w:val="00056263"/>
    <w:rsid w:val="00056997"/>
    <w:rsid w:val="000630AB"/>
    <w:rsid w:val="00074E67"/>
    <w:rsid w:val="000837E3"/>
    <w:rsid w:val="0008468D"/>
    <w:rsid w:val="00085E41"/>
    <w:rsid w:val="00086D1D"/>
    <w:rsid w:val="00087569"/>
    <w:rsid w:val="0009390B"/>
    <w:rsid w:val="0009648D"/>
    <w:rsid w:val="000C28FF"/>
    <w:rsid w:val="000C3928"/>
    <w:rsid w:val="000C48AD"/>
    <w:rsid w:val="000C4BED"/>
    <w:rsid w:val="000D25C6"/>
    <w:rsid w:val="000D2DE5"/>
    <w:rsid w:val="000D4604"/>
    <w:rsid w:val="000E6581"/>
    <w:rsid w:val="000F574A"/>
    <w:rsid w:val="00104318"/>
    <w:rsid w:val="00112206"/>
    <w:rsid w:val="00114727"/>
    <w:rsid w:val="00115D57"/>
    <w:rsid w:val="001326AD"/>
    <w:rsid w:val="00133B83"/>
    <w:rsid w:val="00135FE9"/>
    <w:rsid w:val="001362F9"/>
    <w:rsid w:val="00144477"/>
    <w:rsid w:val="00174B1D"/>
    <w:rsid w:val="00175CAB"/>
    <w:rsid w:val="001772CA"/>
    <w:rsid w:val="0018550C"/>
    <w:rsid w:val="001A1003"/>
    <w:rsid w:val="001A3834"/>
    <w:rsid w:val="001A7F48"/>
    <w:rsid w:val="001B2DA0"/>
    <w:rsid w:val="001C08C6"/>
    <w:rsid w:val="001C1B3E"/>
    <w:rsid w:val="001C7030"/>
    <w:rsid w:val="001D1851"/>
    <w:rsid w:val="001D3E78"/>
    <w:rsid w:val="001D7B29"/>
    <w:rsid w:val="001E0518"/>
    <w:rsid w:val="001F448A"/>
    <w:rsid w:val="0020656B"/>
    <w:rsid w:val="00210228"/>
    <w:rsid w:val="00226405"/>
    <w:rsid w:val="002271B0"/>
    <w:rsid w:val="002325C2"/>
    <w:rsid w:val="002329ED"/>
    <w:rsid w:val="002335FA"/>
    <w:rsid w:val="00241939"/>
    <w:rsid w:val="002425C6"/>
    <w:rsid w:val="0024667F"/>
    <w:rsid w:val="002510FC"/>
    <w:rsid w:val="00256D87"/>
    <w:rsid w:val="00257831"/>
    <w:rsid w:val="0026475F"/>
    <w:rsid w:val="00270631"/>
    <w:rsid w:val="002730AA"/>
    <w:rsid w:val="002938C1"/>
    <w:rsid w:val="00295ED9"/>
    <w:rsid w:val="00296F18"/>
    <w:rsid w:val="002A6278"/>
    <w:rsid w:val="002A752C"/>
    <w:rsid w:val="002B2CFD"/>
    <w:rsid w:val="002B60F6"/>
    <w:rsid w:val="002D2612"/>
    <w:rsid w:val="002F475C"/>
    <w:rsid w:val="0031158C"/>
    <w:rsid w:val="00313A23"/>
    <w:rsid w:val="0031759D"/>
    <w:rsid w:val="00323940"/>
    <w:rsid w:val="003317C8"/>
    <w:rsid w:val="003400DA"/>
    <w:rsid w:val="003528BD"/>
    <w:rsid w:val="00357DD8"/>
    <w:rsid w:val="00360298"/>
    <w:rsid w:val="0036093E"/>
    <w:rsid w:val="00371E60"/>
    <w:rsid w:val="00375291"/>
    <w:rsid w:val="00377FCB"/>
    <w:rsid w:val="00380345"/>
    <w:rsid w:val="0038050E"/>
    <w:rsid w:val="003851A5"/>
    <w:rsid w:val="003906DB"/>
    <w:rsid w:val="003965B4"/>
    <w:rsid w:val="00397D09"/>
    <w:rsid w:val="003B7C84"/>
    <w:rsid w:val="003C4EA0"/>
    <w:rsid w:val="003E32D5"/>
    <w:rsid w:val="003F564C"/>
    <w:rsid w:val="003F5E1C"/>
    <w:rsid w:val="003F7D52"/>
    <w:rsid w:val="00400809"/>
    <w:rsid w:val="00401AFA"/>
    <w:rsid w:val="00407905"/>
    <w:rsid w:val="00415FC8"/>
    <w:rsid w:val="00420DB6"/>
    <w:rsid w:val="00422574"/>
    <w:rsid w:val="00427A1C"/>
    <w:rsid w:val="00435B32"/>
    <w:rsid w:val="00457332"/>
    <w:rsid w:val="00463B10"/>
    <w:rsid w:val="00464971"/>
    <w:rsid w:val="00465EAF"/>
    <w:rsid w:val="00466DAA"/>
    <w:rsid w:val="00467C88"/>
    <w:rsid w:val="00470DF2"/>
    <w:rsid w:val="0047343E"/>
    <w:rsid w:val="004769C4"/>
    <w:rsid w:val="00477936"/>
    <w:rsid w:val="004927B0"/>
    <w:rsid w:val="00493F9B"/>
    <w:rsid w:val="0049446F"/>
    <w:rsid w:val="004A2799"/>
    <w:rsid w:val="004B2A08"/>
    <w:rsid w:val="004D4CBF"/>
    <w:rsid w:val="004E3E2F"/>
    <w:rsid w:val="004E49AF"/>
    <w:rsid w:val="004E4AB4"/>
    <w:rsid w:val="004F24C3"/>
    <w:rsid w:val="004F27E6"/>
    <w:rsid w:val="004F2C1B"/>
    <w:rsid w:val="004F4DDB"/>
    <w:rsid w:val="00503591"/>
    <w:rsid w:val="00505322"/>
    <w:rsid w:val="00536901"/>
    <w:rsid w:val="00541146"/>
    <w:rsid w:val="0054129F"/>
    <w:rsid w:val="00546CE3"/>
    <w:rsid w:val="00555192"/>
    <w:rsid w:val="00556D2B"/>
    <w:rsid w:val="00577554"/>
    <w:rsid w:val="00580CA4"/>
    <w:rsid w:val="005831DB"/>
    <w:rsid w:val="00583553"/>
    <w:rsid w:val="005868E0"/>
    <w:rsid w:val="0058779F"/>
    <w:rsid w:val="00591CB2"/>
    <w:rsid w:val="00592817"/>
    <w:rsid w:val="00596A91"/>
    <w:rsid w:val="005A53B6"/>
    <w:rsid w:val="005A7178"/>
    <w:rsid w:val="005B2F77"/>
    <w:rsid w:val="005C544D"/>
    <w:rsid w:val="00610E72"/>
    <w:rsid w:val="006124DE"/>
    <w:rsid w:val="00616FA8"/>
    <w:rsid w:val="0062019E"/>
    <w:rsid w:val="00621B0F"/>
    <w:rsid w:val="00623ADE"/>
    <w:rsid w:val="0062736A"/>
    <w:rsid w:val="00634710"/>
    <w:rsid w:val="00655169"/>
    <w:rsid w:val="00666D9D"/>
    <w:rsid w:val="00667A91"/>
    <w:rsid w:val="006700AB"/>
    <w:rsid w:val="00676527"/>
    <w:rsid w:val="00680252"/>
    <w:rsid w:val="00681133"/>
    <w:rsid w:val="006832B5"/>
    <w:rsid w:val="0068330D"/>
    <w:rsid w:val="006861EC"/>
    <w:rsid w:val="00696308"/>
    <w:rsid w:val="00696BF8"/>
    <w:rsid w:val="006A06C9"/>
    <w:rsid w:val="006A19DA"/>
    <w:rsid w:val="006A1C8A"/>
    <w:rsid w:val="006B3A6B"/>
    <w:rsid w:val="006C4806"/>
    <w:rsid w:val="006C62F0"/>
    <w:rsid w:val="006D3F72"/>
    <w:rsid w:val="006E03FB"/>
    <w:rsid w:val="006F2C17"/>
    <w:rsid w:val="006F74BB"/>
    <w:rsid w:val="00700E4D"/>
    <w:rsid w:val="00707B32"/>
    <w:rsid w:val="00713675"/>
    <w:rsid w:val="00716597"/>
    <w:rsid w:val="007433D5"/>
    <w:rsid w:val="0074494C"/>
    <w:rsid w:val="0075194A"/>
    <w:rsid w:val="00754B62"/>
    <w:rsid w:val="00754E9E"/>
    <w:rsid w:val="00757995"/>
    <w:rsid w:val="00762C14"/>
    <w:rsid w:val="00765181"/>
    <w:rsid w:val="007738FD"/>
    <w:rsid w:val="007765E2"/>
    <w:rsid w:val="00780E12"/>
    <w:rsid w:val="0078612D"/>
    <w:rsid w:val="00786A0B"/>
    <w:rsid w:val="00794D77"/>
    <w:rsid w:val="007A0B36"/>
    <w:rsid w:val="007A3A66"/>
    <w:rsid w:val="007A57AE"/>
    <w:rsid w:val="007A6A54"/>
    <w:rsid w:val="007B4A43"/>
    <w:rsid w:val="007D11E6"/>
    <w:rsid w:val="007E00A0"/>
    <w:rsid w:val="007F2B79"/>
    <w:rsid w:val="008002EC"/>
    <w:rsid w:val="00801DD7"/>
    <w:rsid w:val="0080370B"/>
    <w:rsid w:val="00803779"/>
    <w:rsid w:val="00804B63"/>
    <w:rsid w:val="00806BD1"/>
    <w:rsid w:val="008179E0"/>
    <w:rsid w:val="0082192A"/>
    <w:rsid w:val="008412AA"/>
    <w:rsid w:val="00841843"/>
    <w:rsid w:val="0085158D"/>
    <w:rsid w:val="00855C66"/>
    <w:rsid w:val="00856C18"/>
    <w:rsid w:val="00856F17"/>
    <w:rsid w:val="00861A08"/>
    <w:rsid w:val="00861F56"/>
    <w:rsid w:val="008654AA"/>
    <w:rsid w:val="00871774"/>
    <w:rsid w:val="00882839"/>
    <w:rsid w:val="0089723C"/>
    <w:rsid w:val="008A5F48"/>
    <w:rsid w:val="008A6000"/>
    <w:rsid w:val="008B3D9D"/>
    <w:rsid w:val="008F710D"/>
    <w:rsid w:val="00905418"/>
    <w:rsid w:val="00906CC0"/>
    <w:rsid w:val="00906CD4"/>
    <w:rsid w:val="00916892"/>
    <w:rsid w:val="00924BA4"/>
    <w:rsid w:val="009261FE"/>
    <w:rsid w:val="00936100"/>
    <w:rsid w:val="00942FF3"/>
    <w:rsid w:val="009513D4"/>
    <w:rsid w:val="00951C9A"/>
    <w:rsid w:val="0095714D"/>
    <w:rsid w:val="00960B75"/>
    <w:rsid w:val="00971689"/>
    <w:rsid w:val="00972878"/>
    <w:rsid w:val="00973E90"/>
    <w:rsid w:val="00974DBA"/>
    <w:rsid w:val="00980177"/>
    <w:rsid w:val="009A60E6"/>
    <w:rsid w:val="009B6F58"/>
    <w:rsid w:val="009C0C59"/>
    <w:rsid w:val="009C34DF"/>
    <w:rsid w:val="009C74C8"/>
    <w:rsid w:val="009D0B48"/>
    <w:rsid w:val="009D41CC"/>
    <w:rsid w:val="009D788B"/>
    <w:rsid w:val="009E29F6"/>
    <w:rsid w:val="009E313A"/>
    <w:rsid w:val="009E5991"/>
    <w:rsid w:val="009F032B"/>
    <w:rsid w:val="009F5383"/>
    <w:rsid w:val="009F6C2F"/>
    <w:rsid w:val="009F6EBE"/>
    <w:rsid w:val="00A03BF5"/>
    <w:rsid w:val="00A06206"/>
    <w:rsid w:val="00A16459"/>
    <w:rsid w:val="00A17C97"/>
    <w:rsid w:val="00A23817"/>
    <w:rsid w:val="00A26B1D"/>
    <w:rsid w:val="00A26EB9"/>
    <w:rsid w:val="00A272EB"/>
    <w:rsid w:val="00A31DA1"/>
    <w:rsid w:val="00A42825"/>
    <w:rsid w:val="00A42981"/>
    <w:rsid w:val="00A47D4F"/>
    <w:rsid w:val="00A51C40"/>
    <w:rsid w:val="00A5392D"/>
    <w:rsid w:val="00A554BD"/>
    <w:rsid w:val="00A60C9E"/>
    <w:rsid w:val="00A672AD"/>
    <w:rsid w:val="00A74976"/>
    <w:rsid w:val="00A82F48"/>
    <w:rsid w:val="00A85ACF"/>
    <w:rsid w:val="00A92D8F"/>
    <w:rsid w:val="00AA3560"/>
    <w:rsid w:val="00AA51AB"/>
    <w:rsid w:val="00AA7031"/>
    <w:rsid w:val="00AB27A1"/>
    <w:rsid w:val="00AB5439"/>
    <w:rsid w:val="00AB72D4"/>
    <w:rsid w:val="00AC5879"/>
    <w:rsid w:val="00AD3292"/>
    <w:rsid w:val="00AD3A96"/>
    <w:rsid w:val="00AD51EA"/>
    <w:rsid w:val="00AE0936"/>
    <w:rsid w:val="00AF6004"/>
    <w:rsid w:val="00B13809"/>
    <w:rsid w:val="00B143EE"/>
    <w:rsid w:val="00B14702"/>
    <w:rsid w:val="00B17B97"/>
    <w:rsid w:val="00B42517"/>
    <w:rsid w:val="00B55306"/>
    <w:rsid w:val="00B60A33"/>
    <w:rsid w:val="00B655F6"/>
    <w:rsid w:val="00B66F74"/>
    <w:rsid w:val="00B75B6F"/>
    <w:rsid w:val="00B7765B"/>
    <w:rsid w:val="00B85936"/>
    <w:rsid w:val="00B90692"/>
    <w:rsid w:val="00B96363"/>
    <w:rsid w:val="00BA06BE"/>
    <w:rsid w:val="00BB09E0"/>
    <w:rsid w:val="00BB4B8E"/>
    <w:rsid w:val="00BC1E43"/>
    <w:rsid w:val="00BC5825"/>
    <w:rsid w:val="00BC6021"/>
    <w:rsid w:val="00C007A4"/>
    <w:rsid w:val="00C020DE"/>
    <w:rsid w:val="00C34216"/>
    <w:rsid w:val="00C34D46"/>
    <w:rsid w:val="00C47E05"/>
    <w:rsid w:val="00C5415F"/>
    <w:rsid w:val="00C64500"/>
    <w:rsid w:val="00C70CB5"/>
    <w:rsid w:val="00C724BE"/>
    <w:rsid w:val="00C7785F"/>
    <w:rsid w:val="00C77F2B"/>
    <w:rsid w:val="00C93C92"/>
    <w:rsid w:val="00CA243D"/>
    <w:rsid w:val="00CA5718"/>
    <w:rsid w:val="00CB0A9E"/>
    <w:rsid w:val="00CB232E"/>
    <w:rsid w:val="00CB2836"/>
    <w:rsid w:val="00CB6EC1"/>
    <w:rsid w:val="00CC03C4"/>
    <w:rsid w:val="00CD579C"/>
    <w:rsid w:val="00CE2840"/>
    <w:rsid w:val="00CF0F59"/>
    <w:rsid w:val="00CF217D"/>
    <w:rsid w:val="00CF42FE"/>
    <w:rsid w:val="00D07C7A"/>
    <w:rsid w:val="00D11C47"/>
    <w:rsid w:val="00D130C4"/>
    <w:rsid w:val="00D22079"/>
    <w:rsid w:val="00D22095"/>
    <w:rsid w:val="00D225D0"/>
    <w:rsid w:val="00D2611F"/>
    <w:rsid w:val="00D34175"/>
    <w:rsid w:val="00D35D16"/>
    <w:rsid w:val="00D40E48"/>
    <w:rsid w:val="00D45CEB"/>
    <w:rsid w:val="00D521CD"/>
    <w:rsid w:val="00D52B4C"/>
    <w:rsid w:val="00D55928"/>
    <w:rsid w:val="00D620EC"/>
    <w:rsid w:val="00D6353D"/>
    <w:rsid w:val="00D652DD"/>
    <w:rsid w:val="00D661E9"/>
    <w:rsid w:val="00D665FA"/>
    <w:rsid w:val="00D77DA6"/>
    <w:rsid w:val="00D841DE"/>
    <w:rsid w:val="00D84DD2"/>
    <w:rsid w:val="00D878A7"/>
    <w:rsid w:val="00D96D79"/>
    <w:rsid w:val="00DB3425"/>
    <w:rsid w:val="00DC0DE2"/>
    <w:rsid w:val="00DC60B3"/>
    <w:rsid w:val="00DC6EC7"/>
    <w:rsid w:val="00DD5932"/>
    <w:rsid w:val="00DD6EC4"/>
    <w:rsid w:val="00DE1930"/>
    <w:rsid w:val="00DE2617"/>
    <w:rsid w:val="00DF7275"/>
    <w:rsid w:val="00E01F42"/>
    <w:rsid w:val="00E05F8B"/>
    <w:rsid w:val="00E06C4D"/>
    <w:rsid w:val="00E07DC4"/>
    <w:rsid w:val="00E16D8F"/>
    <w:rsid w:val="00E170EC"/>
    <w:rsid w:val="00E22FF0"/>
    <w:rsid w:val="00E23933"/>
    <w:rsid w:val="00E46CA2"/>
    <w:rsid w:val="00E509D1"/>
    <w:rsid w:val="00E561B3"/>
    <w:rsid w:val="00E60F64"/>
    <w:rsid w:val="00E65F8C"/>
    <w:rsid w:val="00E65FE9"/>
    <w:rsid w:val="00E714E1"/>
    <w:rsid w:val="00E9084B"/>
    <w:rsid w:val="00E966C2"/>
    <w:rsid w:val="00E96A18"/>
    <w:rsid w:val="00EA0D58"/>
    <w:rsid w:val="00EA0DB1"/>
    <w:rsid w:val="00EA551A"/>
    <w:rsid w:val="00EC255C"/>
    <w:rsid w:val="00EC3ED5"/>
    <w:rsid w:val="00EC518E"/>
    <w:rsid w:val="00ED1587"/>
    <w:rsid w:val="00EF2C26"/>
    <w:rsid w:val="00EF357F"/>
    <w:rsid w:val="00EF4D96"/>
    <w:rsid w:val="00EF6B2F"/>
    <w:rsid w:val="00F03D83"/>
    <w:rsid w:val="00F26864"/>
    <w:rsid w:val="00F32BDE"/>
    <w:rsid w:val="00F35A8D"/>
    <w:rsid w:val="00F4105A"/>
    <w:rsid w:val="00F4367A"/>
    <w:rsid w:val="00F57EC1"/>
    <w:rsid w:val="00F7411B"/>
    <w:rsid w:val="00F752C1"/>
    <w:rsid w:val="00F75A8C"/>
    <w:rsid w:val="00F7606D"/>
    <w:rsid w:val="00F76449"/>
    <w:rsid w:val="00F82C99"/>
    <w:rsid w:val="00FA4D53"/>
    <w:rsid w:val="00FA624C"/>
    <w:rsid w:val="00FA73BE"/>
    <w:rsid w:val="00FB6959"/>
    <w:rsid w:val="00FB6B03"/>
    <w:rsid w:val="00FB75D1"/>
    <w:rsid w:val="00FC2A35"/>
    <w:rsid w:val="00FC2EA6"/>
    <w:rsid w:val="00FC6122"/>
    <w:rsid w:val="00FD4F93"/>
    <w:rsid w:val="00FF3CBD"/>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DE"/>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11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21B0F"/>
    <w:rPr>
      <w:rFonts w:ascii="Times New Roman" w:hAnsi="Times New Roman"/>
      <w:sz w:val="20"/>
      <w:szCs w:val="20"/>
      <w:lang w:eastAsia="en-GB"/>
    </w:rPr>
  </w:style>
  <w:style w:type="character" w:styleId="FootnoteReference">
    <w:name w:val="footnote reference"/>
    <w:semiHidden/>
    <w:rsid w:val="00621B0F"/>
    <w:rPr>
      <w:vertAlign w:val="superscript"/>
    </w:rPr>
  </w:style>
  <w:style w:type="paragraph" w:customStyle="1" w:styleId="legp2paratext1">
    <w:name w:val="legp2paratext1"/>
    <w:basedOn w:val="Normal"/>
    <w:rsid w:val="00621B0F"/>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p2text1">
    <w:name w:val="legp2text1"/>
    <w:basedOn w:val="Normal"/>
    <w:rsid w:val="00621B0F"/>
    <w:pPr>
      <w:shd w:val="clear" w:color="auto" w:fill="FFFFFF"/>
      <w:spacing w:after="120" w:line="360" w:lineRule="atLeast"/>
      <w:jc w:val="both"/>
    </w:pPr>
    <w:rPr>
      <w:rFonts w:ascii="Times New Roman" w:hAnsi="Times New Roman"/>
      <w:color w:val="000000"/>
      <w:sz w:val="19"/>
      <w:szCs w:val="19"/>
      <w:lang w:eastAsia="en-GB"/>
    </w:rPr>
  </w:style>
  <w:style w:type="character" w:customStyle="1" w:styleId="legdsleglhslegp3no">
    <w:name w:val="legds leglhs legp3no"/>
    <w:basedOn w:val="DefaultParagraphFont"/>
    <w:rsid w:val="00621B0F"/>
  </w:style>
  <w:style w:type="character" w:customStyle="1" w:styleId="legdslegrhslegp3text">
    <w:name w:val="legds legrhs legp3text"/>
    <w:basedOn w:val="DefaultParagraphFont"/>
    <w:rsid w:val="00621B0F"/>
  </w:style>
  <w:style w:type="character" w:styleId="Strong">
    <w:name w:val="Strong"/>
    <w:qFormat/>
    <w:rsid w:val="00621B0F"/>
    <w:rPr>
      <w:b/>
      <w:bCs/>
    </w:rPr>
  </w:style>
  <w:style w:type="paragraph" w:customStyle="1" w:styleId="legp1paratext1">
    <w:name w:val="legp1paratext1"/>
    <w:basedOn w:val="Normal"/>
    <w:rsid w:val="00E16D8F"/>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ennote">
    <w:name w:val="ennote"/>
    <w:basedOn w:val="DefaultParagraphFont"/>
    <w:rsid w:val="00E16D8F"/>
  </w:style>
  <w:style w:type="character" w:customStyle="1" w:styleId="legp1no3">
    <w:name w:val="legp1no3"/>
    <w:rsid w:val="00E16D8F"/>
    <w:rPr>
      <w:b/>
      <w:bCs/>
    </w:rPr>
  </w:style>
  <w:style w:type="paragraph" w:customStyle="1" w:styleId="Default">
    <w:name w:val="Default"/>
    <w:rsid w:val="002730AA"/>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757995"/>
    <w:pPr>
      <w:spacing w:after="160" w:line="240" w:lineRule="exact"/>
    </w:pPr>
    <w:rPr>
      <w:rFonts w:ascii="Verdana" w:hAnsi="Verdana"/>
      <w:sz w:val="20"/>
      <w:szCs w:val="20"/>
    </w:rPr>
  </w:style>
  <w:style w:type="character" w:customStyle="1" w:styleId="BalloonTextChar">
    <w:name w:val="Balloon Text Char"/>
    <w:link w:val="BalloonText"/>
    <w:rsid w:val="00757995"/>
    <w:rPr>
      <w:rFonts w:ascii="Tahoma" w:hAnsi="Tahoma" w:cs="Tahoma"/>
      <w:sz w:val="16"/>
      <w:szCs w:val="16"/>
      <w:lang w:val="en-GB" w:eastAsia="en-US" w:bidi="ar-SA"/>
    </w:rPr>
  </w:style>
  <w:style w:type="paragraph" w:styleId="PlainText">
    <w:name w:val="Plain Text"/>
    <w:basedOn w:val="Normal"/>
    <w:rsid w:val="00422574"/>
    <w:rPr>
      <w:rFonts w:ascii="Courier New" w:hAnsi="Courier New" w:cs="Courier New"/>
      <w:sz w:val="20"/>
      <w:szCs w:val="20"/>
      <w:lang w:eastAsia="en-GB"/>
    </w:rPr>
  </w:style>
  <w:style w:type="paragraph" w:styleId="ListParagraph">
    <w:name w:val="List Paragraph"/>
    <w:basedOn w:val="Normal"/>
    <w:link w:val="ListParagraphChar"/>
    <w:uiPriority w:val="34"/>
    <w:qFormat/>
    <w:rsid w:val="00EF2C26"/>
    <w:pPr>
      <w:ind w:left="720"/>
    </w:pPr>
  </w:style>
  <w:style w:type="character" w:styleId="FollowedHyperlink">
    <w:name w:val="FollowedHyperlink"/>
    <w:rsid w:val="00D665FA"/>
    <w:rPr>
      <w:color w:val="800080"/>
      <w:u w:val="single"/>
    </w:rPr>
  </w:style>
  <w:style w:type="paragraph" w:styleId="Revision">
    <w:name w:val="Revision"/>
    <w:hidden/>
    <w:uiPriority w:val="99"/>
    <w:semiHidden/>
    <w:rsid w:val="00AD51EA"/>
    <w:rPr>
      <w:rFonts w:ascii="Arial" w:hAnsi="Arial"/>
      <w:sz w:val="24"/>
      <w:szCs w:val="24"/>
      <w:lang w:eastAsia="en-US"/>
    </w:rPr>
  </w:style>
  <w:style w:type="paragraph" w:customStyle="1" w:styleId="bParagraphtext">
    <w:name w:val="bParagraph text"/>
    <w:basedOn w:val="ListParagraph"/>
    <w:link w:val="bParagraphtextChar"/>
    <w:qFormat/>
    <w:rsid w:val="00F752C1"/>
    <w:pPr>
      <w:tabs>
        <w:tab w:val="left" w:pos="426"/>
      </w:tabs>
      <w:spacing w:after="120"/>
      <w:ind w:left="426" w:hanging="426"/>
    </w:pPr>
    <w:rPr>
      <w:color w:val="000000"/>
      <w:lang w:eastAsia="en-GB"/>
    </w:rPr>
  </w:style>
  <w:style w:type="character" w:customStyle="1" w:styleId="bParagraphtextChar">
    <w:name w:val="bParagraph text Char"/>
    <w:link w:val="bParagraphtext"/>
    <w:rsid w:val="00F752C1"/>
    <w:rPr>
      <w:rFonts w:ascii="Arial" w:hAnsi="Arial"/>
      <w:color w:val="000000"/>
      <w:sz w:val="24"/>
      <w:szCs w:val="24"/>
    </w:rPr>
  </w:style>
  <w:style w:type="character" w:customStyle="1" w:styleId="ListParagraphChar">
    <w:name w:val="List Paragraph Char"/>
    <w:link w:val="ListParagraph"/>
    <w:uiPriority w:val="34"/>
    <w:rsid w:val="000330B1"/>
    <w:rPr>
      <w:rFonts w:ascii="Arial" w:hAnsi="Arial"/>
      <w:sz w:val="24"/>
      <w:szCs w:val="24"/>
      <w:lang w:eastAsia="en-US"/>
    </w:rPr>
  </w:style>
  <w:style w:type="character" w:customStyle="1" w:styleId="CommentTextChar">
    <w:name w:val="Comment Text Char"/>
    <w:basedOn w:val="DefaultParagraphFont"/>
    <w:link w:val="CommentText"/>
    <w:uiPriority w:val="99"/>
    <w:semiHidden/>
    <w:rsid w:val="0089723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DE"/>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11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21B0F"/>
    <w:rPr>
      <w:rFonts w:ascii="Times New Roman" w:hAnsi="Times New Roman"/>
      <w:sz w:val="20"/>
      <w:szCs w:val="20"/>
      <w:lang w:eastAsia="en-GB"/>
    </w:rPr>
  </w:style>
  <w:style w:type="character" w:styleId="FootnoteReference">
    <w:name w:val="footnote reference"/>
    <w:semiHidden/>
    <w:rsid w:val="00621B0F"/>
    <w:rPr>
      <w:vertAlign w:val="superscript"/>
    </w:rPr>
  </w:style>
  <w:style w:type="paragraph" w:customStyle="1" w:styleId="legp2paratext1">
    <w:name w:val="legp2paratext1"/>
    <w:basedOn w:val="Normal"/>
    <w:rsid w:val="00621B0F"/>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p2text1">
    <w:name w:val="legp2text1"/>
    <w:basedOn w:val="Normal"/>
    <w:rsid w:val="00621B0F"/>
    <w:pPr>
      <w:shd w:val="clear" w:color="auto" w:fill="FFFFFF"/>
      <w:spacing w:after="120" w:line="360" w:lineRule="atLeast"/>
      <w:jc w:val="both"/>
    </w:pPr>
    <w:rPr>
      <w:rFonts w:ascii="Times New Roman" w:hAnsi="Times New Roman"/>
      <w:color w:val="000000"/>
      <w:sz w:val="19"/>
      <w:szCs w:val="19"/>
      <w:lang w:eastAsia="en-GB"/>
    </w:rPr>
  </w:style>
  <w:style w:type="character" w:customStyle="1" w:styleId="legdsleglhslegp3no">
    <w:name w:val="legds leglhs legp3no"/>
    <w:basedOn w:val="DefaultParagraphFont"/>
    <w:rsid w:val="00621B0F"/>
  </w:style>
  <w:style w:type="character" w:customStyle="1" w:styleId="legdslegrhslegp3text">
    <w:name w:val="legds legrhs legp3text"/>
    <w:basedOn w:val="DefaultParagraphFont"/>
    <w:rsid w:val="00621B0F"/>
  </w:style>
  <w:style w:type="character" w:styleId="Strong">
    <w:name w:val="Strong"/>
    <w:qFormat/>
    <w:rsid w:val="00621B0F"/>
    <w:rPr>
      <w:b/>
      <w:bCs/>
    </w:rPr>
  </w:style>
  <w:style w:type="paragraph" w:customStyle="1" w:styleId="legp1paratext1">
    <w:name w:val="legp1paratext1"/>
    <w:basedOn w:val="Normal"/>
    <w:rsid w:val="00E16D8F"/>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ennote">
    <w:name w:val="ennote"/>
    <w:basedOn w:val="DefaultParagraphFont"/>
    <w:rsid w:val="00E16D8F"/>
  </w:style>
  <w:style w:type="character" w:customStyle="1" w:styleId="legp1no3">
    <w:name w:val="legp1no3"/>
    <w:rsid w:val="00E16D8F"/>
    <w:rPr>
      <w:b/>
      <w:bCs/>
    </w:rPr>
  </w:style>
  <w:style w:type="paragraph" w:customStyle="1" w:styleId="Default">
    <w:name w:val="Default"/>
    <w:rsid w:val="002730AA"/>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757995"/>
    <w:pPr>
      <w:spacing w:after="160" w:line="240" w:lineRule="exact"/>
    </w:pPr>
    <w:rPr>
      <w:rFonts w:ascii="Verdana" w:hAnsi="Verdana"/>
      <w:sz w:val="20"/>
      <w:szCs w:val="20"/>
    </w:rPr>
  </w:style>
  <w:style w:type="character" w:customStyle="1" w:styleId="BalloonTextChar">
    <w:name w:val="Balloon Text Char"/>
    <w:link w:val="BalloonText"/>
    <w:rsid w:val="00757995"/>
    <w:rPr>
      <w:rFonts w:ascii="Tahoma" w:hAnsi="Tahoma" w:cs="Tahoma"/>
      <w:sz w:val="16"/>
      <w:szCs w:val="16"/>
      <w:lang w:val="en-GB" w:eastAsia="en-US" w:bidi="ar-SA"/>
    </w:rPr>
  </w:style>
  <w:style w:type="paragraph" w:styleId="PlainText">
    <w:name w:val="Plain Text"/>
    <w:basedOn w:val="Normal"/>
    <w:rsid w:val="00422574"/>
    <w:rPr>
      <w:rFonts w:ascii="Courier New" w:hAnsi="Courier New" w:cs="Courier New"/>
      <w:sz w:val="20"/>
      <w:szCs w:val="20"/>
      <w:lang w:eastAsia="en-GB"/>
    </w:rPr>
  </w:style>
  <w:style w:type="paragraph" w:styleId="ListParagraph">
    <w:name w:val="List Paragraph"/>
    <w:basedOn w:val="Normal"/>
    <w:link w:val="ListParagraphChar"/>
    <w:uiPriority w:val="34"/>
    <w:qFormat/>
    <w:rsid w:val="00EF2C26"/>
    <w:pPr>
      <w:ind w:left="720"/>
    </w:pPr>
  </w:style>
  <w:style w:type="character" w:styleId="FollowedHyperlink">
    <w:name w:val="FollowedHyperlink"/>
    <w:rsid w:val="00D665FA"/>
    <w:rPr>
      <w:color w:val="800080"/>
      <w:u w:val="single"/>
    </w:rPr>
  </w:style>
  <w:style w:type="paragraph" w:styleId="Revision">
    <w:name w:val="Revision"/>
    <w:hidden/>
    <w:uiPriority w:val="99"/>
    <w:semiHidden/>
    <w:rsid w:val="00AD51EA"/>
    <w:rPr>
      <w:rFonts w:ascii="Arial" w:hAnsi="Arial"/>
      <w:sz w:val="24"/>
      <w:szCs w:val="24"/>
      <w:lang w:eastAsia="en-US"/>
    </w:rPr>
  </w:style>
  <w:style w:type="paragraph" w:customStyle="1" w:styleId="bParagraphtext">
    <w:name w:val="bParagraph text"/>
    <w:basedOn w:val="ListParagraph"/>
    <w:link w:val="bParagraphtextChar"/>
    <w:qFormat/>
    <w:rsid w:val="00F752C1"/>
    <w:pPr>
      <w:tabs>
        <w:tab w:val="left" w:pos="426"/>
      </w:tabs>
      <w:spacing w:after="120"/>
      <w:ind w:left="426" w:hanging="426"/>
    </w:pPr>
    <w:rPr>
      <w:color w:val="000000"/>
      <w:lang w:eastAsia="en-GB"/>
    </w:rPr>
  </w:style>
  <w:style w:type="character" w:customStyle="1" w:styleId="bParagraphtextChar">
    <w:name w:val="bParagraph text Char"/>
    <w:link w:val="bParagraphtext"/>
    <w:rsid w:val="00F752C1"/>
    <w:rPr>
      <w:rFonts w:ascii="Arial" w:hAnsi="Arial"/>
      <w:color w:val="000000"/>
      <w:sz w:val="24"/>
      <w:szCs w:val="24"/>
    </w:rPr>
  </w:style>
  <w:style w:type="character" w:customStyle="1" w:styleId="ListParagraphChar">
    <w:name w:val="List Paragraph Char"/>
    <w:link w:val="ListParagraph"/>
    <w:uiPriority w:val="34"/>
    <w:rsid w:val="000330B1"/>
    <w:rPr>
      <w:rFonts w:ascii="Arial" w:hAnsi="Arial"/>
      <w:sz w:val="24"/>
      <w:szCs w:val="24"/>
      <w:lang w:eastAsia="en-US"/>
    </w:rPr>
  </w:style>
  <w:style w:type="character" w:customStyle="1" w:styleId="CommentTextChar">
    <w:name w:val="Comment Text Char"/>
    <w:basedOn w:val="DefaultParagraphFont"/>
    <w:link w:val="CommentText"/>
    <w:uiPriority w:val="99"/>
    <w:semiHidden/>
    <w:rsid w:val="0089723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1551">
      <w:bodyDiv w:val="1"/>
      <w:marLeft w:val="0"/>
      <w:marRight w:val="0"/>
      <w:marTop w:val="0"/>
      <w:marBottom w:val="0"/>
      <w:divBdr>
        <w:top w:val="none" w:sz="0" w:space="0" w:color="auto"/>
        <w:left w:val="none" w:sz="0" w:space="0" w:color="auto"/>
        <w:bottom w:val="none" w:sz="0" w:space="0" w:color="auto"/>
        <w:right w:val="none" w:sz="0" w:space="0" w:color="auto"/>
      </w:divBdr>
      <w:divsChild>
        <w:div w:id="1790855567">
          <w:marLeft w:val="0"/>
          <w:marRight w:val="0"/>
          <w:marTop w:val="0"/>
          <w:marBottom w:val="0"/>
          <w:divBdr>
            <w:top w:val="none" w:sz="0" w:space="0" w:color="auto"/>
            <w:left w:val="none" w:sz="0" w:space="0" w:color="auto"/>
            <w:bottom w:val="none" w:sz="0" w:space="0" w:color="auto"/>
            <w:right w:val="none" w:sz="0" w:space="0" w:color="auto"/>
          </w:divBdr>
          <w:divsChild>
            <w:div w:id="931745022">
              <w:marLeft w:val="0"/>
              <w:marRight w:val="0"/>
              <w:marTop w:val="0"/>
              <w:marBottom w:val="0"/>
              <w:divBdr>
                <w:top w:val="none" w:sz="0" w:space="0" w:color="auto"/>
                <w:left w:val="none" w:sz="0" w:space="0" w:color="auto"/>
                <w:bottom w:val="none" w:sz="0" w:space="0" w:color="auto"/>
                <w:right w:val="none" w:sz="0" w:space="0" w:color="auto"/>
              </w:divBdr>
            </w:div>
            <w:div w:id="1214268780">
              <w:marLeft w:val="0"/>
              <w:marRight w:val="0"/>
              <w:marTop w:val="0"/>
              <w:marBottom w:val="0"/>
              <w:divBdr>
                <w:top w:val="none" w:sz="0" w:space="0" w:color="auto"/>
                <w:left w:val="none" w:sz="0" w:space="0" w:color="auto"/>
                <w:bottom w:val="none" w:sz="0" w:space="0" w:color="auto"/>
                <w:right w:val="none" w:sz="0" w:space="0" w:color="auto"/>
              </w:divBdr>
            </w:div>
            <w:div w:id="1548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1113">
      <w:bodyDiv w:val="1"/>
      <w:marLeft w:val="0"/>
      <w:marRight w:val="0"/>
      <w:marTop w:val="0"/>
      <w:marBottom w:val="0"/>
      <w:divBdr>
        <w:top w:val="none" w:sz="0" w:space="0" w:color="auto"/>
        <w:left w:val="none" w:sz="0" w:space="0" w:color="auto"/>
        <w:bottom w:val="none" w:sz="0" w:space="0" w:color="auto"/>
        <w:right w:val="none" w:sz="0" w:space="0" w:color="auto"/>
      </w:divBdr>
      <w:divsChild>
        <w:div w:id="138614929">
          <w:marLeft w:val="0"/>
          <w:marRight w:val="0"/>
          <w:marTop w:val="0"/>
          <w:marBottom w:val="0"/>
          <w:divBdr>
            <w:top w:val="none" w:sz="0" w:space="0" w:color="auto"/>
            <w:left w:val="none" w:sz="0" w:space="0" w:color="auto"/>
            <w:bottom w:val="none" w:sz="0" w:space="0" w:color="auto"/>
            <w:right w:val="none" w:sz="0" w:space="0" w:color="auto"/>
          </w:divBdr>
        </w:div>
        <w:div w:id="537594449">
          <w:marLeft w:val="0"/>
          <w:marRight w:val="0"/>
          <w:marTop w:val="0"/>
          <w:marBottom w:val="0"/>
          <w:divBdr>
            <w:top w:val="none" w:sz="0" w:space="0" w:color="auto"/>
            <w:left w:val="none" w:sz="0" w:space="0" w:color="auto"/>
            <w:bottom w:val="none" w:sz="0" w:space="0" w:color="auto"/>
            <w:right w:val="none" w:sz="0" w:space="0" w:color="auto"/>
          </w:divBdr>
        </w:div>
        <w:div w:id="600652204">
          <w:marLeft w:val="0"/>
          <w:marRight w:val="0"/>
          <w:marTop w:val="0"/>
          <w:marBottom w:val="0"/>
          <w:divBdr>
            <w:top w:val="none" w:sz="0" w:space="0" w:color="auto"/>
            <w:left w:val="none" w:sz="0" w:space="0" w:color="auto"/>
            <w:bottom w:val="none" w:sz="0" w:space="0" w:color="auto"/>
            <w:right w:val="none" w:sz="0" w:space="0" w:color="auto"/>
          </w:divBdr>
        </w:div>
        <w:div w:id="640156974">
          <w:marLeft w:val="0"/>
          <w:marRight w:val="0"/>
          <w:marTop w:val="0"/>
          <w:marBottom w:val="0"/>
          <w:divBdr>
            <w:top w:val="none" w:sz="0" w:space="0" w:color="auto"/>
            <w:left w:val="none" w:sz="0" w:space="0" w:color="auto"/>
            <w:bottom w:val="none" w:sz="0" w:space="0" w:color="auto"/>
            <w:right w:val="none" w:sz="0" w:space="0" w:color="auto"/>
          </w:divBdr>
        </w:div>
        <w:div w:id="866674346">
          <w:marLeft w:val="0"/>
          <w:marRight w:val="0"/>
          <w:marTop w:val="0"/>
          <w:marBottom w:val="0"/>
          <w:divBdr>
            <w:top w:val="none" w:sz="0" w:space="0" w:color="auto"/>
            <w:left w:val="none" w:sz="0" w:space="0" w:color="auto"/>
            <w:bottom w:val="none" w:sz="0" w:space="0" w:color="auto"/>
            <w:right w:val="none" w:sz="0" w:space="0" w:color="auto"/>
          </w:divBdr>
        </w:div>
        <w:div w:id="944995660">
          <w:marLeft w:val="0"/>
          <w:marRight w:val="0"/>
          <w:marTop w:val="0"/>
          <w:marBottom w:val="0"/>
          <w:divBdr>
            <w:top w:val="none" w:sz="0" w:space="0" w:color="auto"/>
            <w:left w:val="none" w:sz="0" w:space="0" w:color="auto"/>
            <w:bottom w:val="none" w:sz="0" w:space="0" w:color="auto"/>
            <w:right w:val="none" w:sz="0" w:space="0" w:color="auto"/>
          </w:divBdr>
        </w:div>
        <w:div w:id="1145703406">
          <w:marLeft w:val="0"/>
          <w:marRight w:val="0"/>
          <w:marTop w:val="0"/>
          <w:marBottom w:val="0"/>
          <w:divBdr>
            <w:top w:val="none" w:sz="0" w:space="0" w:color="auto"/>
            <w:left w:val="none" w:sz="0" w:space="0" w:color="auto"/>
            <w:bottom w:val="none" w:sz="0" w:space="0" w:color="auto"/>
            <w:right w:val="none" w:sz="0" w:space="0" w:color="auto"/>
          </w:divBdr>
        </w:div>
        <w:div w:id="1167862900">
          <w:marLeft w:val="0"/>
          <w:marRight w:val="0"/>
          <w:marTop w:val="0"/>
          <w:marBottom w:val="0"/>
          <w:divBdr>
            <w:top w:val="none" w:sz="0" w:space="0" w:color="auto"/>
            <w:left w:val="none" w:sz="0" w:space="0" w:color="auto"/>
            <w:bottom w:val="none" w:sz="0" w:space="0" w:color="auto"/>
            <w:right w:val="none" w:sz="0" w:space="0" w:color="auto"/>
          </w:divBdr>
        </w:div>
        <w:div w:id="1257859712">
          <w:marLeft w:val="0"/>
          <w:marRight w:val="0"/>
          <w:marTop w:val="0"/>
          <w:marBottom w:val="0"/>
          <w:divBdr>
            <w:top w:val="none" w:sz="0" w:space="0" w:color="auto"/>
            <w:left w:val="none" w:sz="0" w:space="0" w:color="auto"/>
            <w:bottom w:val="none" w:sz="0" w:space="0" w:color="auto"/>
            <w:right w:val="none" w:sz="0" w:space="0" w:color="auto"/>
          </w:divBdr>
        </w:div>
        <w:div w:id="1395810072">
          <w:marLeft w:val="0"/>
          <w:marRight w:val="0"/>
          <w:marTop w:val="0"/>
          <w:marBottom w:val="0"/>
          <w:divBdr>
            <w:top w:val="none" w:sz="0" w:space="0" w:color="auto"/>
            <w:left w:val="none" w:sz="0" w:space="0" w:color="auto"/>
            <w:bottom w:val="none" w:sz="0" w:space="0" w:color="auto"/>
            <w:right w:val="none" w:sz="0" w:space="0" w:color="auto"/>
          </w:divBdr>
        </w:div>
        <w:div w:id="1533609209">
          <w:marLeft w:val="0"/>
          <w:marRight w:val="0"/>
          <w:marTop w:val="0"/>
          <w:marBottom w:val="0"/>
          <w:divBdr>
            <w:top w:val="none" w:sz="0" w:space="0" w:color="auto"/>
            <w:left w:val="none" w:sz="0" w:space="0" w:color="auto"/>
            <w:bottom w:val="none" w:sz="0" w:space="0" w:color="auto"/>
            <w:right w:val="none" w:sz="0" w:space="0" w:color="auto"/>
          </w:divBdr>
        </w:div>
        <w:div w:id="1594506009">
          <w:marLeft w:val="0"/>
          <w:marRight w:val="0"/>
          <w:marTop w:val="0"/>
          <w:marBottom w:val="0"/>
          <w:divBdr>
            <w:top w:val="none" w:sz="0" w:space="0" w:color="auto"/>
            <w:left w:val="none" w:sz="0" w:space="0" w:color="auto"/>
            <w:bottom w:val="none" w:sz="0" w:space="0" w:color="auto"/>
            <w:right w:val="none" w:sz="0" w:space="0" w:color="auto"/>
          </w:divBdr>
        </w:div>
        <w:div w:id="1654531356">
          <w:marLeft w:val="0"/>
          <w:marRight w:val="0"/>
          <w:marTop w:val="0"/>
          <w:marBottom w:val="0"/>
          <w:divBdr>
            <w:top w:val="none" w:sz="0" w:space="0" w:color="auto"/>
            <w:left w:val="none" w:sz="0" w:space="0" w:color="auto"/>
            <w:bottom w:val="none" w:sz="0" w:space="0" w:color="auto"/>
            <w:right w:val="none" w:sz="0" w:space="0" w:color="auto"/>
          </w:divBdr>
        </w:div>
        <w:div w:id="1782143861">
          <w:marLeft w:val="0"/>
          <w:marRight w:val="0"/>
          <w:marTop w:val="0"/>
          <w:marBottom w:val="0"/>
          <w:divBdr>
            <w:top w:val="none" w:sz="0" w:space="0" w:color="auto"/>
            <w:left w:val="none" w:sz="0" w:space="0" w:color="auto"/>
            <w:bottom w:val="none" w:sz="0" w:space="0" w:color="auto"/>
            <w:right w:val="none" w:sz="0" w:space="0" w:color="auto"/>
          </w:divBdr>
        </w:div>
        <w:div w:id="1831632762">
          <w:marLeft w:val="0"/>
          <w:marRight w:val="0"/>
          <w:marTop w:val="0"/>
          <w:marBottom w:val="0"/>
          <w:divBdr>
            <w:top w:val="none" w:sz="0" w:space="0" w:color="auto"/>
            <w:left w:val="none" w:sz="0" w:space="0" w:color="auto"/>
            <w:bottom w:val="none" w:sz="0" w:space="0" w:color="auto"/>
            <w:right w:val="none" w:sz="0" w:space="0" w:color="auto"/>
          </w:divBdr>
        </w:div>
        <w:div w:id="1961761445">
          <w:marLeft w:val="0"/>
          <w:marRight w:val="0"/>
          <w:marTop w:val="0"/>
          <w:marBottom w:val="0"/>
          <w:divBdr>
            <w:top w:val="none" w:sz="0" w:space="0" w:color="auto"/>
            <w:left w:val="none" w:sz="0" w:space="0" w:color="auto"/>
            <w:bottom w:val="none" w:sz="0" w:space="0" w:color="auto"/>
            <w:right w:val="none" w:sz="0" w:space="0" w:color="auto"/>
          </w:divBdr>
        </w:div>
      </w:divsChild>
    </w:div>
    <w:div w:id="610434871">
      <w:bodyDiv w:val="1"/>
      <w:marLeft w:val="0"/>
      <w:marRight w:val="0"/>
      <w:marTop w:val="0"/>
      <w:marBottom w:val="0"/>
      <w:divBdr>
        <w:top w:val="none" w:sz="0" w:space="0" w:color="auto"/>
        <w:left w:val="none" w:sz="0" w:space="0" w:color="auto"/>
        <w:bottom w:val="none" w:sz="0" w:space="0" w:color="auto"/>
        <w:right w:val="none" w:sz="0" w:space="0" w:color="auto"/>
      </w:divBdr>
      <w:divsChild>
        <w:div w:id="116877069">
          <w:marLeft w:val="0"/>
          <w:marRight w:val="0"/>
          <w:marTop w:val="0"/>
          <w:marBottom w:val="0"/>
          <w:divBdr>
            <w:top w:val="none" w:sz="0" w:space="0" w:color="auto"/>
            <w:left w:val="none" w:sz="0" w:space="0" w:color="auto"/>
            <w:bottom w:val="none" w:sz="0" w:space="0" w:color="auto"/>
            <w:right w:val="none" w:sz="0" w:space="0" w:color="auto"/>
          </w:divBdr>
        </w:div>
        <w:div w:id="246546598">
          <w:marLeft w:val="0"/>
          <w:marRight w:val="0"/>
          <w:marTop w:val="0"/>
          <w:marBottom w:val="0"/>
          <w:divBdr>
            <w:top w:val="none" w:sz="0" w:space="0" w:color="auto"/>
            <w:left w:val="none" w:sz="0" w:space="0" w:color="auto"/>
            <w:bottom w:val="none" w:sz="0" w:space="0" w:color="auto"/>
            <w:right w:val="none" w:sz="0" w:space="0" w:color="auto"/>
          </w:divBdr>
        </w:div>
        <w:div w:id="467630073">
          <w:marLeft w:val="0"/>
          <w:marRight w:val="0"/>
          <w:marTop w:val="0"/>
          <w:marBottom w:val="0"/>
          <w:divBdr>
            <w:top w:val="none" w:sz="0" w:space="0" w:color="auto"/>
            <w:left w:val="none" w:sz="0" w:space="0" w:color="auto"/>
            <w:bottom w:val="none" w:sz="0" w:space="0" w:color="auto"/>
            <w:right w:val="none" w:sz="0" w:space="0" w:color="auto"/>
          </w:divBdr>
        </w:div>
        <w:div w:id="688678302">
          <w:marLeft w:val="0"/>
          <w:marRight w:val="0"/>
          <w:marTop w:val="0"/>
          <w:marBottom w:val="0"/>
          <w:divBdr>
            <w:top w:val="none" w:sz="0" w:space="0" w:color="auto"/>
            <w:left w:val="none" w:sz="0" w:space="0" w:color="auto"/>
            <w:bottom w:val="none" w:sz="0" w:space="0" w:color="auto"/>
            <w:right w:val="none" w:sz="0" w:space="0" w:color="auto"/>
          </w:divBdr>
        </w:div>
        <w:div w:id="744453046">
          <w:marLeft w:val="0"/>
          <w:marRight w:val="0"/>
          <w:marTop w:val="0"/>
          <w:marBottom w:val="0"/>
          <w:divBdr>
            <w:top w:val="none" w:sz="0" w:space="0" w:color="auto"/>
            <w:left w:val="none" w:sz="0" w:space="0" w:color="auto"/>
            <w:bottom w:val="none" w:sz="0" w:space="0" w:color="auto"/>
            <w:right w:val="none" w:sz="0" w:space="0" w:color="auto"/>
          </w:divBdr>
        </w:div>
        <w:div w:id="770200609">
          <w:marLeft w:val="0"/>
          <w:marRight w:val="0"/>
          <w:marTop w:val="0"/>
          <w:marBottom w:val="0"/>
          <w:divBdr>
            <w:top w:val="none" w:sz="0" w:space="0" w:color="auto"/>
            <w:left w:val="none" w:sz="0" w:space="0" w:color="auto"/>
            <w:bottom w:val="none" w:sz="0" w:space="0" w:color="auto"/>
            <w:right w:val="none" w:sz="0" w:space="0" w:color="auto"/>
          </w:divBdr>
        </w:div>
        <w:div w:id="792022778">
          <w:marLeft w:val="0"/>
          <w:marRight w:val="0"/>
          <w:marTop w:val="0"/>
          <w:marBottom w:val="0"/>
          <w:divBdr>
            <w:top w:val="none" w:sz="0" w:space="0" w:color="auto"/>
            <w:left w:val="none" w:sz="0" w:space="0" w:color="auto"/>
            <w:bottom w:val="none" w:sz="0" w:space="0" w:color="auto"/>
            <w:right w:val="none" w:sz="0" w:space="0" w:color="auto"/>
          </w:divBdr>
        </w:div>
        <w:div w:id="1081367700">
          <w:marLeft w:val="0"/>
          <w:marRight w:val="0"/>
          <w:marTop w:val="0"/>
          <w:marBottom w:val="0"/>
          <w:divBdr>
            <w:top w:val="none" w:sz="0" w:space="0" w:color="auto"/>
            <w:left w:val="none" w:sz="0" w:space="0" w:color="auto"/>
            <w:bottom w:val="none" w:sz="0" w:space="0" w:color="auto"/>
            <w:right w:val="none" w:sz="0" w:space="0" w:color="auto"/>
          </w:divBdr>
        </w:div>
        <w:div w:id="1120490658">
          <w:marLeft w:val="0"/>
          <w:marRight w:val="0"/>
          <w:marTop w:val="0"/>
          <w:marBottom w:val="0"/>
          <w:divBdr>
            <w:top w:val="none" w:sz="0" w:space="0" w:color="auto"/>
            <w:left w:val="none" w:sz="0" w:space="0" w:color="auto"/>
            <w:bottom w:val="none" w:sz="0" w:space="0" w:color="auto"/>
            <w:right w:val="none" w:sz="0" w:space="0" w:color="auto"/>
          </w:divBdr>
        </w:div>
        <w:div w:id="1166172348">
          <w:marLeft w:val="0"/>
          <w:marRight w:val="0"/>
          <w:marTop w:val="0"/>
          <w:marBottom w:val="0"/>
          <w:divBdr>
            <w:top w:val="none" w:sz="0" w:space="0" w:color="auto"/>
            <w:left w:val="none" w:sz="0" w:space="0" w:color="auto"/>
            <w:bottom w:val="none" w:sz="0" w:space="0" w:color="auto"/>
            <w:right w:val="none" w:sz="0" w:space="0" w:color="auto"/>
          </w:divBdr>
        </w:div>
        <w:div w:id="1251618732">
          <w:marLeft w:val="0"/>
          <w:marRight w:val="0"/>
          <w:marTop w:val="0"/>
          <w:marBottom w:val="0"/>
          <w:divBdr>
            <w:top w:val="none" w:sz="0" w:space="0" w:color="auto"/>
            <w:left w:val="none" w:sz="0" w:space="0" w:color="auto"/>
            <w:bottom w:val="none" w:sz="0" w:space="0" w:color="auto"/>
            <w:right w:val="none" w:sz="0" w:space="0" w:color="auto"/>
          </w:divBdr>
        </w:div>
        <w:div w:id="1656492107">
          <w:marLeft w:val="0"/>
          <w:marRight w:val="0"/>
          <w:marTop w:val="0"/>
          <w:marBottom w:val="0"/>
          <w:divBdr>
            <w:top w:val="none" w:sz="0" w:space="0" w:color="auto"/>
            <w:left w:val="none" w:sz="0" w:space="0" w:color="auto"/>
            <w:bottom w:val="none" w:sz="0" w:space="0" w:color="auto"/>
            <w:right w:val="none" w:sz="0" w:space="0" w:color="auto"/>
          </w:divBdr>
        </w:div>
        <w:div w:id="1924334165">
          <w:marLeft w:val="0"/>
          <w:marRight w:val="0"/>
          <w:marTop w:val="0"/>
          <w:marBottom w:val="0"/>
          <w:divBdr>
            <w:top w:val="none" w:sz="0" w:space="0" w:color="auto"/>
            <w:left w:val="none" w:sz="0" w:space="0" w:color="auto"/>
            <w:bottom w:val="none" w:sz="0" w:space="0" w:color="auto"/>
            <w:right w:val="none" w:sz="0" w:space="0" w:color="auto"/>
          </w:divBdr>
        </w:div>
        <w:div w:id="1929461675">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82226807">
          <w:marLeft w:val="0"/>
          <w:marRight w:val="0"/>
          <w:marTop w:val="0"/>
          <w:marBottom w:val="0"/>
          <w:divBdr>
            <w:top w:val="none" w:sz="0" w:space="0" w:color="auto"/>
            <w:left w:val="none" w:sz="0" w:space="0" w:color="auto"/>
            <w:bottom w:val="none" w:sz="0" w:space="0" w:color="auto"/>
            <w:right w:val="none" w:sz="0" w:space="0" w:color="auto"/>
          </w:divBdr>
        </w:div>
      </w:divsChild>
    </w:div>
    <w:div w:id="1058437584">
      <w:bodyDiv w:val="1"/>
      <w:marLeft w:val="0"/>
      <w:marRight w:val="0"/>
      <w:marTop w:val="0"/>
      <w:marBottom w:val="0"/>
      <w:divBdr>
        <w:top w:val="none" w:sz="0" w:space="0" w:color="auto"/>
        <w:left w:val="none" w:sz="0" w:space="0" w:color="auto"/>
        <w:bottom w:val="none" w:sz="0" w:space="0" w:color="auto"/>
        <w:right w:val="none" w:sz="0" w:space="0" w:color="auto"/>
      </w:divBdr>
      <w:divsChild>
        <w:div w:id="1976176663">
          <w:marLeft w:val="0"/>
          <w:marRight w:val="0"/>
          <w:marTop w:val="0"/>
          <w:marBottom w:val="0"/>
          <w:divBdr>
            <w:top w:val="none" w:sz="0" w:space="0" w:color="auto"/>
            <w:left w:val="none" w:sz="0" w:space="0" w:color="auto"/>
            <w:bottom w:val="none" w:sz="0" w:space="0" w:color="auto"/>
            <w:right w:val="none" w:sz="0" w:space="0" w:color="auto"/>
          </w:divBdr>
          <w:divsChild>
            <w:div w:id="173539408">
              <w:marLeft w:val="0"/>
              <w:marRight w:val="0"/>
              <w:marTop w:val="0"/>
              <w:marBottom w:val="0"/>
              <w:divBdr>
                <w:top w:val="none" w:sz="0" w:space="0" w:color="auto"/>
                <w:left w:val="none" w:sz="0" w:space="0" w:color="auto"/>
                <w:bottom w:val="none" w:sz="0" w:space="0" w:color="auto"/>
                <w:right w:val="none" w:sz="0" w:space="0" w:color="auto"/>
              </w:divBdr>
              <w:divsChild>
                <w:div w:id="1202867539">
                  <w:marLeft w:val="0"/>
                  <w:marRight w:val="0"/>
                  <w:marTop w:val="0"/>
                  <w:marBottom w:val="0"/>
                  <w:divBdr>
                    <w:top w:val="none" w:sz="0" w:space="0" w:color="auto"/>
                    <w:left w:val="none" w:sz="0" w:space="0" w:color="auto"/>
                    <w:bottom w:val="none" w:sz="0" w:space="0" w:color="auto"/>
                    <w:right w:val="none" w:sz="0" w:space="0" w:color="auto"/>
                  </w:divBdr>
                  <w:divsChild>
                    <w:div w:id="281425899">
                      <w:marLeft w:val="0"/>
                      <w:marRight w:val="0"/>
                      <w:marTop w:val="0"/>
                      <w:marBottom w:val="0"/>
                      <w:divBdr>
                        <w:top w:val="none" w:sz="0" w:space="0" w:color="auto"/>
                        <w:left w:val="none" w:sz="0" w:space="0" w:color="auto"/>
                        <w:bottom w:val="none" w:sz="0" w:space="0" w:color="auto"/>
                        <w:right w:val="none" w:sz="0" w:space="0" w:color="auto"/>
                      </w:divBdr>
                      <w:divsChild>
                        <w:div w:id="1571039355">
                          <w:marLeft w:val="0"/>
                          <w:marRight w:val="0"/>
                          <w:marTop w:val="0"/>
                          <w:marBottom w:val="0"/>
                          <w:divBdr>
                            <w:top w:val="none" w:sz="0" w:space="0" w:color="auto"/>
                            <w:left w:val="none" w:sz="0" w:space="0" w:color="auto"/>
                            <w:bottom w:val="none" w:sz="0" w:space="0" w:color="auto"/>
                            <w:right w:val="none" w:sz="0" w:space="0" w:color="auto"/>
                          </w:divBdr>
                          <w:divsChild>
                            <w:div w:id="1729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93427">
      <w:bodyDiv w:val="1"/>
      <w:marLeft w:val="0"/>
      <w:marRight w:val="0"/>
      <w:marTop w:val="0"/>
      <w:marBottom w:val="0"/>
      <w:divBdr>
        <w:top w:val="none" w:sz="0" w:space="0" w:color="auto"/>
        <w:left w:val="none" w:sz="0" w:space="0" w:color="auto"/>
        <w:bottom w:val="none" w:sz="0" w:space="0" w:color="auto"/>
        <w:right w:val="none" w:sz="0" w:space="0" w:color="auto"/>
      </w:divBdr>
    </w:div>
    <w:div w:id="1597056326">
      <w:bodyDiv w:val="1"/>
      <w:marLeft w:val="0"/>
      <w:marRight w:val="0"/>
      <w:marTop w:val="0"/>
      <w:marBottom w:val="0"/>
      <w:divBdr>
        <w:top w:val="none" w:sz="0" w:space="0" w:color="auto"/>
        <w:left w:val="none" w:sz="0" w:space="0" w:color="auto"/>
        <w:bottom w:val="none" w:sz="0" w:space="0" w:color="auto"/>
        <w:right w:val="none" w:sz="0" w:space="0" w:color="auto"/>
      </w:divBdr>
      <w:divsChild>
        <w:div w:id="301228378">
          <w:marLeft w:val="0"/>
          <w:marRight w:val="0"/>
          <w:marTop w:val="0"/>
          <w:marBottom w:val="0"/>
          <w:divBdr>
            <w:top w:val="none" w:sz="0" w:space="0" w:color="auto"/>
            <w:left w:val="none" w:sz="0" w:space="0" w:color="auto"/>
            <w:bottom w:val="none" w:sz="0" w:space="0" w:color="auto"/>
            <w:right w:val="none" w:sz="0" w:space="0" w:color="auto"/>
          </w:divBdr>
          <w:divsChild>
            <w:div w:id="13390206">
              <w:marLeft w:val="0"/>
              <w:marRight w:val="0"/>
              <w:marTop w:val="0"/>
              <w:marBottom w:val="0"/>
              <w:divBdr>
                <w:top w:val="none" w:sz="0" w:space="0" w:color="auto"/>
                <w:left w:val="none" w:sz="0" w:space="0" w:color="auto"/>
                <w:bottom w:val="none" w:sz="0" w:space="0" w:color="auto"/>
                <w:right w:val="none" w:sz="0" w:space="0" w:color="auto"/>
              </w:divBdr>
            </w:div>
            <w:div w:id="764426471">
              <w:marLeft w:val="0"/>
              <w:marRight w:val="0"/>
              <w:marTop w:val="0"/>
              <w:marBottom w:val="0"/>
              <w:divBdr>
                <w:top w:val="none" w:sz="0" w:space="0" w:color="auto"/>
                <w:left w:val="none" w:sz="0" w:space="0" w:color="auto"/>
                <w:bottom w:val="none" w:sz="0" w:space="0" w:color="auto"/>
                <w:right w:val="none" w:sz="0" w:space="0" w:color="auto"/>
              </w:divBdr>
            </w:div>
            <w:div w:id="765419883">
              <w:marLeft w:val="0"/>
              <w:marRight w:val="0"/>
              <w:marTop w:val="0"/>
              <w:marBottom w:val="0"/>
              <w:divBdr>
                <w:top w:val="none" w:sz="0" w:space="0" w:color="auto"/>
                <w:left w:val="none" w:sz="0" w:space="0" w:color="auto"/>
                <w:bottom w:val="none" w:sz="0" w:space="0" w:color="auto"/>
                <w:right w:val="none" w:sz="0" w:space="0" w:color="auto"/>
              </w:divBdr>
            </w:div>
            <w:div w:id="987854838">
              <w:marLeft w:val="0"/>
              <w:marRight w:val="0"/>
              <w:marTop w:val="0"/>
              <w:marBottom w:val="0"/>
              <w:divBdr>
                <w:top w:val="none" w:sz="0" w:space="0" w:color="auto"/>
                <w:left w:val="none" w:sz="0" w:space="0" w:color="auto"/>
                <w:bottom w:val="none" w:sz="0" w:space="0" w:color="auto"/>
                <w:right w:val="none" w:sz="0" w:space="0" w:color="auto"/>
              </w:divBdr>
            </w:div>
            <w:div w:id="1108424434">
              <w:marLeft w:val="0"/>
              <w:marRight w:val="0"/>
              <w:marTop w:val="0"/>
              <w:marBottom w:val="0"/>
              <w:divBdr>
                <w:top w:val="none" w:sz="0" w:space="0" w:color="auto"/>
                <w:left w:val="none" w:sz="0" w:space="0" w:color="auto"/>
                <w:bottom w:val="none" w:sz="0" w:space="0" w:color="auto"/>
                <w:right w:val="none" w:sz="0" w:space="0" w:color="auto"/>
              </w:divBdr>
            </w:div>
            <w:div w:id="1130320153">
              <w:marLeft w:val="0"/>
              <w:marRight w:val="0"/>
              <w:marTop w:val="0"/>
              <w:marBottom w:val="0"/>
              <w:divBdr>
                <w:top w:val="none" w:sz="0" w:space="0" w:color="auto"/>
                <w:left w:val="none" w:sz="0" w:space="0" w:color="auto"/>
                <w:bottom w:val="none" w:sz="0" w:space="0" w:color="auto"/>
                <w:right w:val="none" w:sz="0" w:space="0" w:color="auto"/>
              </w:divBdr>
            </w:div>
            <w:div w:id="1347903455">
              <w:marLeft w:val="0"/>
              <w:marRight w:val="0"/>
              <w:marTop w:val="0"/>
              <w:marBottom w:val="0"/>
              <w:divBdr>
                <w:top w:val="none" w:sz="0" w:space="0" w:color="auto"/>
                <w:left w:val="none" w:sz="0" w:space="0" w:color="auto"/>
                <w:bottom w:val="none" w:sz="0" w:space="0" w:color="auto"/>
                <w:right w:val="none" w:sz="0" w:space="0" w:color="auto"/>
              </w:divBdr>
            </w:div>
            <w:div w:id="1653363502">
              <w:marLeft w:val="0"/>
              <w:marRight w:val="0"/>
              <w:marTop w:val="0"/>
              <w:marBottom w:val="0"/>
              <w:divBdr>
                <w:top w:val="none" w:sz="0" w:space="0" w:color="auto"/>
                <w:left w:val="none" w:sz="0" w:space="0" w:color="auto"/>
                <w:bottom w:val="none" w:sz="0" w:space="0" w:color="auto"/>
                <w:right w:val="none" w:sz="0" w:space="0" w:color="auto"/>
              </w:divBdr>
            </w:div>
            <w:div w:id="20250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211">
      <w:bodyDiv w:val="1"/>
      <w:marLeft w:val="0"/>
      <w:marRight w:val="0"/>
      <w:marTop w:val="0"/>
      <w:marBottom w:val="0"/>
      <w:divBdr>
        <w:top w:val="none" w:sz="0" w:space="0" w:color="auto"/>
        <w:left w:val="none" w:sz="0" w:space="0" w:color="auto"/>
        <w:bottom w:val="none" w:sz="0" w:space="0" w:color="auto"/>
        <w:right w:val="none" w:sz="0" w:space="0" w:color="auto"/>
      </w:divBdr>
      <w:divsChild>
        <w:div w:id="1966886787">
          <w:marLeft w:val="0"/>
          <w:marRight w:val="0"/>
          <w:marTop w:val="0"/>
          <w:marBottom w:val="0"/>
          <w:divBdr>
            <w:top w:val="none" w:sz="0" w:space="0" w:color="auto"/>
            <w:left w:val="none" w:sz="0" w:space="0" w:color="auto"/>
            <w:bottom w:val="none" w:sz="0" w:space="0" w:color="auto"/>
            <w:right w:val="none" w:sz="0" w:space="0" w:color="auto"/>
          </w:divBdr>
          <w:divsChild>
            <w:div w:id="534275745">
              <w:marLeft w:val="0"/>
              <w:marRight w:val="0"/>
              <w:marTop w:val="0"/>
              <w:marBottom w:val="0"/>
              <w:divBdr>
                <w:top w:val="none" w:sz="0" w:space="0" w:color="auto"/>
                <w:left w:val="none" w:sz="0" w:space="0" w:color="auto"/>
                <w:bottom w:val="none" w:sz="0" w:space="0" w:color="auto"/>
                <w:right w:val="none" w:sz="0" w:space="0" w:color="auto"/>
              </w:divBdr>
            </w:div>
            <w:div w:id="638266336">
              <w:marLeft w:val="0"/>
              <w:marRight w:val="0"/>
              <w:marTop w:val="0"/>
              <w:marBottom w:val="0"/>
              <w:divBdr>
                <w:top w:val="none" w:sz="0" w:space="0" w:color="auto"/>
                <w:left w:val="none" w:sz="0" w:space="0" w:color="auto"/>
                <w:bottom w:val="none" w:sz="0" w:space="0" w:color="auto"/>
                <w:right w:val="none" w:sz="0" w:space="0" w:color="auto"/>
              </w:divBdr>
            </w:div>
            <w:div w:id="1007101647">
              <w:marLeft w:val="0"/>
              <w:marRight w:val="0"/>
              <w:marTop w:val="0"/>
              <w:marBottom w:val="0"/>
              <w:divBdr>
                <w:top w:val="none" w:sz="0" w:space="0" w:color="auto"/>
                <w:left w:val="none" w:sz="0" w:space="0" w:color="auto"/>
                <w:bottom w:val="none" w:sz="0" w:space="0" w:color="auto"/>
                <w:right w:val="none" w:sz="0" w:space="0" w:color="auto"/>
              </w:divBdr>
            </w:div>
            <w:div w:id="1135100126">
              <w:marLeft w:val="0"/>
              <w:marRight w:val="0"/>
              <w:marTop w:val="0"/>
              <w:marBottom w:val="0"/>
              <w:divBdr>
                <w:top w:val="none" w:sz="0" w:space="0" w:color="auto"/>
                <w:left w:val="none" w:sz="0" w:space="0" w:color="auto"/>
                <w:bottom w:val="none" w:sz="0" w:space="0" w:color="auto"/>
                <w:right w:val="none" w:sz="0" w:space="0" w:color="auto"/>
              </w:divBdr>
            </w:div>
            <w:div w:id="1624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460">
      <w:bodyDiv w:val="1"/>
      <w:marLeft w:val="0"/>
      <w:marRight w:val="0"/>
      <w:marTop w:val="0"/>
      <w:marBottom w:val="0"/>
      <w:divBdr>
        <w:top w:val="none" w:sz="0" w:space="0" w:color="auto"/>
        <w:left w:val="none" w:sz="0" w:space="0" w:color="auto"/>
        <w:bottom w:val="none" w:sz="0" w:space="0" w:color="auto"/>
        <w:right w:val="none" w:sz="0" w:space="0" w:color="auto"/>
      </w:divBdr>
      <w:divsChild>
        <w:div w:id="899442555">
          <w:marLeft w:val="0"/>
          <w:marRight w:val="0"/>
          <w:marTop w:val="0"/>
          <w:marBottom w:val="0"/>
          <w:divBdr>
            <w:top w:val="none" w:sz="0" w:space="0" w:color="auto"/>
            <w:left w:val="none" w:sz="0" w:space="0" w:color="auto"/>
            <w:bottom w:val="none" w:sz="0" w:space="0" w:color="auto"/>
            <w:right w:val="none" w:sz="0" w:space="0" w:color="auto"/>
          </w:divBdr>
          <w:divsChild>
            <w:div w:id="455221201">
              <w:marLeft w:val="0"/>
              <w:marRight w:val="0"/>
              <w:marTop w:val="0"/>
              <w:marBottom w:val="0"/>
              <w:divBdr>
                <w:top w:val="single" w:sz="2" w:space="0" w:color="FFFFFF"/>
                <w:left w:val="single" w:sz="6" w:space="0" w:color="FFFFFF"/>
                <w:bottom w:val="single" w:sz="6" w:space="0" w:color="FFFFFF"/>
                <w:right w:val="single" w:sz="6" w:space="0" w:color="FFFFFF"/>
              </w:divBdr>
              <w:divsChild>
                <w:div w:id="1287812932">
                  <w:marLeft w:val="0"/>
                  <w:marRight w:val="0"/>
                  <w:marTop w:val="0"/>
                  <w:marBottom w:val="0"/>
                  <w:divBdr>
                    <w:top w:val="single" w:sz="6" w:space="1" w:color="D3D3D3"/>
                    <w:left w:val="none" w:sz="0" w:space="0" w:color="auto"/>
                    <w:bottom w:val="none" w:sz="0" w:space="0" w:color="auto"/>
                    <w:right w:val="none" w:sz="0" w:space="0" w:color="auto"/>
                  </w:divBdr>
                  <w:divsChild>
                    <w:div w:id="1264651263">
                      <w:marLeft w:val="0"/>
                      <w:marRight w:val="0"/>
                      <w:marTop w:val="0"/>
                      <w:marBottom w:val="0"/>
                      <w:divBdr>
                        <w:top w:val="none" w:sz="0" w:space="0" w:color="auto"/>
                        <w:left w:val="none" w:sz="0" w:space="0" w:color="auto"/>
                        <w:bottom w:val="none" w:sz="0" w:space="0" w:color="auto"/>
                        <w:right w:val="none" w:sz="0" w:space="0" w:color="auto"/>
                      </w:divBdr>
                      <w:divsChild>
                        <w:div w:id="573660319">
                          <w:marLeft w:val="0"/>
                          <w:marRight w:val="0"/>
                          <w:marTop w:val="0"/>
                          <w:marBottom w:val="0"/>
                          <w:divBdr>
                            <w:top w:val="none" w:sz="0" w:space="0" w:color="auto"/>
                            <w:left w:val="none" w:sz="0" w:space="0" w:color="auto"/>
                            <w:bottom w:val="none" w:sz="0" w:space="0" w:color="auto"/>
                            <w:right w:val="none" w:sz="0" w:space="0" w:color="auto"/>
                          </w:divBdr>
                        </w:div>
                        <w:div w:id="1218276818">
                          <w:marLeft w:val="0"/>
                          <w:marRight w:val="0"/>
                          <w:marTop w:val="0"/>
                          <w:marBottom w:val="0"/>
                          <w:divBdr>
                            <w:top w:val="none" w:sz="0" w:space="0" w:color="auto"/>
                            <w:left w:val="none" w:sz="0" w:space="0" w:color="auto"/>
                            <w:bottom w:val="none" w:sz="0" w:space="0" w:color="auto"/>
                            <w:right w:val="none" w:sz="0" w:space="0" w:color="auto"/>
                          </w:divBdr>
                          <w:divsChild>
                            <w:div w:id="948052489">
                              <w:marLeft w:val="0"/>
                              <w:marRight w:val="0"/>
                              <w:marTop w:val="0"/>
                              <w:marBottom w:val="0"/>
                              <w:divBdr>
                                <w:top w:val="none" w:sz="0" w:space="0" w:color="auto"/>
                                <w:left w:val="none" w:sz="0" w:space="0" w:color="auto"/>
                                <w:bottom w:val="none" w:sz="0" w:space="0" w:color="auto"/>
                                <w:right w:val="none" w:sz="0" w:space="0" w:color="auto"/>
                              </w:divBdr>
                              <w:divsChild>
                                <w:div w:id="692806581">
                                  <w:marLeft w:val="0"/>
                                  <w:marRight w:val="0"/>
                                  <w:marTop w:val="0"/>
                                  <w:marBottom w:val="0"/>
                                  <w:divBdr>
                                    <w:top w:val="none" w:sz="0" w:space="0" w:color="auto"/>
                                    <w:left w:val="none" w:sz="0" w:space="0" w:color="auto"/>
                                    <w:bottom w:val="none" w:sz="0" w:space="0" w:color="auto"/>
                                    <w:right w:val="none" w:sz="0" w:space="0" w:color="auto"/>
                                  </w:divBdr>
                                  <w:divsChild>
                                    <w:div w:id="885682545">
                                      <w:marLeft w:val="0"/>
                                      <w:marRight w:val="0"/>
                                      <w:marTop w:val="0"/>
                                      <w:marBottom w:val="0"/>
                                      <w:divBdr>
                                        <w:top w:val="none" w:sz="0" w:space="0" w:color="auto"/>
                                        <w:left w:val="none" w:sz="0" w:space="0" w:color="auto"/>
                                        <w:bottom w:val="none" w:sz="0" w:space="0" w:color="auto"/>
                                        <w:right w:val="none" w:sz="0" w:space="0" w:color="auto"/>
                                      </w:divBdr>
                                    </w:div>
                                  </w:divsChild>
                                </w:div>
                                <w:div w:id="2081632614">
                                  <w:marLeft w:val="0"/>
                                  <w:marRight w:val="0"/>
                                  <w:marTop w:val="0"/>
                                  <w:marBottom w:val="0"/>
                                  <w:divBdr>
                                    <w:top w:val="none" w:sz="0" w:space="0" w:color="auto"/>
                                    <w:left w:val="none" w:sz="0" w:space="0" w:color="auto"/>
                                    <w:bottom w:val="none" w:sz="0" w:space="0" w:color="auto"/>
                                    <w:right w:val="none" w:sz="0" w:space="0" w:color="auto"/>
                                  </w:divBdr>
                                  <w:divsChild>
                                    <w:div w:id="6749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0849">
                          <w:marLeft w:val="0"/>
                          <w:marRight w:val="0"/>
                          <w:marTop w:val="0"/>
                          <w:marBottom w:val="0"/>
                          <w:divBdr>
                            <w:top w:val="none" w:sz="0" w:space="0" w:color="auto"/>
                            <w:left w:val="none" w:sz="0" w:space="0" w:color="auto"/>
                            <w:bottom w:val="none" w:sz="0" w:space="0" w:color="auto"/>
                            <w:right w:val="none" w:sz="0" w:space="0" w:color="auto"/>
                          </w:divBdr>
                        </w:div>
                        <w:div w:id="19845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ningportal.gov.uk" TargetMode="External"/><Relationship Id="rId18" Type="http://schemas.openxmlformats.org/officeDocument/2006/relationships/hyperlink" Target="http://www.ric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http://www.legislation.gov.uk/ukdsi/2010/9780111492390/images/ukdsi_9780111492390_en_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dsi/2010/9780111492390/images/ukdsi_9780111492390_en_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95B5-7CD2-4559-95F4-47C0737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DAA400A</Template>
  <TotalTime>19</TotalTime>
  <Pages>15</Pages>
  <Words>5007</Words>
  <Characters>26414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vt:lpstr>
    </vt:vector>
  </TitlesOfParts>
  <Company>Oxford City Council</Company>
  <LinksUpToDate>false</LinksUpToDate>
  <CharactersWithSpaces>31359</CharactersWithSpaces>
  <SharedDoc>false</SharedDoc>
  <HLinks>
    <vt:vector size="24" baseType="variant">
      <vt:variant>
        <vt:i4>4784194</vt:i4>
      </vt:variant>
      <vt:variant>
        <vt:i4>9</vt:i4>
      </vt:variant>
      <vt:variant>
        <vt:i4>0</vt:i4>
      </vt:variant>
      <vt:variant>
        <vt:i4>5</vt:i4>
      </vt:variant>
      <vt:variant>
        <vt:lpwstr>http://www.rics.org/</vt:lpwstr>
      </vt:variant>
      <vt:variant>
        <vt:lpwstr/>
      </vt:variant>
      <vt:variant>
        <vt:i4>5046381</vt:i4>
      </vt:variant>
      <vt:variant>
        <vt:i4>3</vt:i4>
      </vt:variant>
      <vt:variant>
        <vt:i4>0</vt:i4>
      </vt:variant>
      <vt:variant>
        <vt:i4>5</vt:i4>
      </vt:variant>
      <vt:variant>
        <vt:lpwstr>http://www.legislation.gov.uk/ukdsi/2010/9780111492390/images/ukdsi_9780111492390_en_002</vt:lpwstr>
      </vt:variant>
      <vt:variant>
        <vt:lpwstr/>
      </vt:variant>
      <vt:variant>
        <vt:i4>6094927</vt:i4>
      </vt:variant>
      <vt:variant>
        <vt:i4>0</vt:i4>
      </vt:variant>
      <vt:variant>
        <vt:i4>0</vt:i4>
      </vt:variant>
      <vt:variant>
        <vt:i4>5</vt:i4>
      </vt:variant>
      <vt:variant>
        <vt:lpwstr>http://www.planningportal.gov.uk/</vt:lpwstr>
      </vt:variant>
      <vt:variant>
        <vt:lpwstr/>
      </vt:variant>
      <vt:variant>
        <vt:i4>5046381</vt:i4>
      </vt:variant>
      <vt:variant>
        <vt:i4>24464</vt:i4>
      </vt:variant>
      <vt:variant>
        <vt:i4>1026</vt:i4>
      </vt:variant>
      <vt:variant>
        <vt:i4>1</vt:i4>
      </vt:variant>
      <vt:variant>
        <vt:lpwstr>http://www.legislation.gov.uk/ukdsi/2010/9780111492390/images/ukdsi_9780111492390_en_002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x</dc:creator>
  <cp:lastModifiedBy>JMitchell</cp:lastModifiedBy>
  <cp:revision>4</cp:revision>
  <cp:lastPrinted>2012-11-20T14:30:00Z</cp:lastPrinted>
  <dcterms:created xsi:type="dcterms:W3CDTF">2017-12-11T15:11:00Z</dcterms:created>
  <dcterms:modified xsi:type="dcterms:W3CDTF">2017-12-12T16:50:00Z</dcterms:modified>
</cp:coreProperties>
</file>